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EB0AC" w14:textId="0EF2DAFB" w:rsidR="00D92B18" w:rsidRDefault="00D92B18" w:rsidP="00D92B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RAN WG1 #105-e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D07C7">
        <w:rPr>
          <w:b/>
          <w:noProof/>
          <w:sz w:val="24"/>
        </w:rPr>
        <w:tab/>
      </w:r>
      <w:r w:rsidRPr="00024968">
        <w:rPr>
          <w:b/>
          <w:noProof/>
          <w:sz w:val="24"/>
        </w:rPr>
        <w:t>R1-210482</w:t>
      </w:r>
      <w:r>
        <w:rPr>
          <w:b/>
          <w:noProof/>
          <w:sz w:val="24"/>
        </w:rPr>
        <w:t>5</w:t>
      </w:r>
    </w:p>
    <w:p w14:paraId="524CB9AF" w14:textId="77777777" w:rsidR="00D92B18" w:rsidRDefault="00D92B18" w:rsidP="00D92B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May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1629D478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</w:t>
      </w:r>
      <w:r w:rsidR="002C0325">
        <w:rPr>
          <w:rFonts w:ascii="Arial" w:hAnsi="Arial"/>
          <w:sz w:val="24"/>
        </w:rPr>
        <w:t>4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796F6D1D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D27EA9" w:rsidRPr="00D27EA9">
        <w:rPr>
          <w:rFonts w:ascii="Arial" w:hAnsi="Arial"/>
          <w:sz w:val="24"/>
        </w:rPr>
        <w:t>Enhancements on HARQ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859D330" w14:textId="6EAD4AFC" w:rsidR="008208F6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092284EF" w14:textId="545DC38F" w:rsidR="001B159B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2C241546" w14:textId="5E70D0C6" w:rsidR="00C24DF7" w:rsidRPr="00C24DF7" w:rsidRDefault="00C24DF7" w:rsidP="00C24DF7">
      <w:r>
        <w:t xml:space="preserve">In the previous RAN1 meeting, </w:t>
      </w:r>
      <w:r w:rsidR="00F90EEA">
        <w:t>RAN1#104-</w:t>
      </w:r>
      <w:r w:rsidR="006621E0">
        <w:t>bis-</w:t>
      </w:r>
      <w:r w:rsidR="00F90EEA">
        <w:t>e, the following agreements were made under this agenda item:</w:t>
      </w:r>
    </w:p>
    <w:p w14:paraId="607D6D6E" w14:textId="77777777" w:rsidR="00527F72" w:rsidRDefault="00527F72" w:rsidP="00527F72">
      <w:pPr>
        <w:rPr>
          <w:lang w:eastAsia="x-none"/>
        </w:rPr>
      </w:pPr>
      <w:r w:rsidRPr="00E8017C">
        <w:rPr>
          <w:highlight w:val="green"/>
          <w:lang w:eastAsia="x-none"/>
        </w:rPr>
        <w:t>Agreement:</w:t>
      </w:r>
    </w:p>
    <w:p w14:paraId="3BFA4AB3" w14:textId="6C23A7F7" w:rsidR="006621E0" w:rsidRDefault="00527F72" w:rsidP="00527F72">
      <w:r w:rsidRPr="00E8017C">
        <w:rPr>
          <w:lang w:eastAsia="x-none"/>
        </w:rPr>
        <w:t>Increasing the number of HARQ processes for NB-IoT and for eMTC in NTN is</w:t>
      </w:r>
      <w:r>
        <w:rPr>
          <w:lang w:eastAsia="x-none"/>
        </w:rPr>
        <w:t xml:space="preserve"> recommended</w:t>
      </w:r>
      <w:r w:rsidRPr="00E8017C">
        <w:rPr>
          <w:lang w:eastAsia="x-none"/>
        </w:rPr>
        <w:t xml:space="preserve"> not </w:t>
      </w:r>
      <w:r>
        <w:rPr>
          <w:lang w:eastAsia="x-none"/>
        </w:rPr>
        <w:t xml:space="preserve">to be </w:t>
      </w:r>
      <w:r w:rsidRPr="00E8017C">
        <w:rPr>
          <w:lang w:eastAsia="x-none"/>
        </w:rPr>
        <w:t>supported in Rel-17</w:t>
      </w:r>
      <w:r>
        <w:rPr>
          <w:lang w:eastAsia="x-none"/>
        </w:rPr>
        <w:t>.</w:t>
      </w:r>
    </w:p>
    <w:p w14:paraId="10E1F8CF" w14:textId="77777777" w:rsidR="00E5050F" w:rsidRDefault="0039574A" w:rsidP="00E5050F">
      <w:r>
        <w:t xml:space="preserve">We present our views on this </w:t>
      </w:r>
      <w:r w:rsidR="005C491E">
        <w:t>agenda item in the following.</w:t>
      </w:r>
      <w:r w:rsidR="00E5050F">
        <w:t xml:space="preserve"> </w:t>
      </w:r>
    </w:p>
    <w:p w14:paraId="666685EB" w14:textId="201D71F8" w:rsidR="0039574A" w:rsidRPr="00CC7A2A" w:rsidRDefault="00E5050F" w:rsidP="00E5050F">
      <w:pPr>
        <w:rPr>
          <w:lang w:eastAsia="zh-CN"/>
        </w:rPr>
      </w:pPr>
      <w:r>
        <w:rPr>
          <w:lang w:val="en-US"/>
        </w:rPr>
        <w:t xml:space="preserve">We consider the proposals and observations marked in </w:t>
      </w:r>
      <w:r>
        <w:rPr>
          <w:b/>
          <w:bCs/>
          <w:color w:val="FF0000"/>
          <w:lang w:val="en-US"/>
        </w:rPr>
        <w:t>red boldface</w:t>
      </w:r>
      <w:r>
        <w:rPr>
          <w:lang w:val="en-US"/>
        </w:rPr>
        <w:t xml:space="preserve"> to be </w:t>
      </w:r>
      <w:r>
        <w:rPr>
          <w:color w:val="FF0000"/>
          <w:lang w:val="en-US"/>
        </w:rPr>
        <w:t>essential for Release 17</w:t>
      </w:r>
      <w:r>
        <w:rPr>
          <w:lang w:val="en-US"/>
        </w:rPr>
        <w:t xml:space="preserve">; proposals and observations marked in </w:t>
      </w:r>
      <w:r>
        <w:rPr>
          <w:b/>
          <w:bCs/>
          <w:color w:val="ED7D31" w:themeColor="accent2"/>
          <w:lang w:val="en-US"/>
        </w:rPr>
        <w:t>orange boldface</w:t>
      </w:r>
      <w:r>
        <w:rPr>
          <w:lang w:val="en-US"/>
        </w:rPr>
        <w:t xml:space="preserve"> are ones </w:t>
      </w:r>
      <w:r>
        <w:rPr>
          <w:color w:val="ED7D31" w:themeColor="accent2"/>
          <w:lang w:val="en-US"/>
        </w:rPr>
        <w:t>recommend to be captured additionally (to the essential proposals) in the TR</w:t>
      </w:r>
      <w:r>
        <w:rPr>
          <w:lang w:val="en-US"/>
        </w:rPr>
        <w:t xml:space="preserve"> as </w:t>
      </w:r>
      <w:r>
        <w:rPr>
          <w:i/>
          <w:iCs/>
          <w:lang w:val="en-US"/>
        </w:rPr>
        <w:t>guiding principles and observations for future work</w:t>
      </w:r>
      <w:r>
        <w:rPr>
          <w:lang w:val="en-US"/>
        </w:rPr>
        <w:t>.</w:t>
      </w:r>
    </w:p>
    <w:p w14:paraId="5D121D92" w14:textId="5AB6F9EB" w:rsidR="004C615B" w:rsidRDefault="00C5395E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HARQ</w:t>
      </w:r>
      <w:r w:rsidR="00006CE5">
        <w:t>-</w:t>
      </w:r>
      <w:r>
        <w:t xml:space="preserve">ACK </w:t>
      </w:r>
      <w:r w:rsidR="004C07B6">
        <w:t>feedback disabled</w:t>
      </w:r>
      <w:r>
        <w:t xml:space="preserve"> HARQ process(es)</w:t>
      </w:r>
    </w:p>
    <w:p w14:paraId="2698D41D" w14:textId="22C2D43F" w:rsidR="002D5638" w:rsidRDefault="002D5638" w:rsidP="00C5395E">
      <w:r>
        <w:t xml:space="preserve">In Table </w:t>
      </w:r>
      <w:r w:rsidR="00031861">
        <w:t>1</w:t>
      </w:r>
      <w:r>
        <w:t xml:space="preserve">, we </w:t>
      </w:r>
      <w:r w:rsidR="00D30DB2">
        <w:t xml:space="preserve">depict a scenario corresponding to </w:t>
      </w:r>
      <w:r w:rsidR="000035E6">
        <w:t xml:space="preserve">a </w:t>
      </w:r>
      <w:r w:rsidR="00D30DB2">
        <w:t xml:space="preserve">Set 1 GEO </w:t>
      </w:r>
      <w:r w:rsidR="000035E6">
        <w:t xml:space="preserve">deployment, with a central beam centre DL SNR of </w:t>
      </w:r>
      <m:oMath>
        <m:r>
          <w:rPr>
            <w:rFonts w:ascii="Cambria Math" w:hAnsi="Cambria Math"/>
          </w:rPr>
          <m:t>-2.98</m:t>
        </m:r>
        <m:r>
          <w:rPr>
            <w:rFonts w:ascii="Cambria Math" w:hAnsi="Cambria Math"/>
            <w:color w:val="FF0000"/>
          </w:rPr>
          <m:t xml:space="preserve"> </m:t>
        </m:r>
        <m:r>
          <w:rPr>
            <w:rFonts w:ascii="Cambria Math" w:hAnsi="Cambria Math"/>
          </w:rPr>
          <m:t>dB</m:t>
        </m:r>
      </m:oMath>
      <w:r w:rsidR="00133866">
        <w:t xml:space="preserve"> and a central beam edge DL SNR of </w:t>
      </w:r>
      <m:oMath>
        <m:r>
          <w:rPr>
            <w:rFonts w:ascii="Cambria Math" w:hAnsi="Cambria Math"/>
          </w:rPr>
          <m:t>-3.24 dB</m:t>
        </m:r>
      </m:oMath>
      <w:r w:rsidR="00133866">
        <w:t xml:space="preserve">. </w:t>
      </w:r>
      <w:r w:rsidR="00E46BFB">
        <w:t xml:space="preserve">For our link-level evaluations, we use an AWGN channel, which is </w:t>
      </w:r>
      <w:r w:rsidR="00246141">
        <w:t>realistic in the line-of-sight settings that characterize GEO NTN networks.</w:t>
      </w:r>
      <w:r w:rsidR="000D167D">
        <w:t xml:space="preserve"> We note that, under this situation</w:t>
      </w:r>
      <w:r w:rsidR="006A2B02">
        <w:t>,</w:t>
      </w:r>
      <w:r w:rsidR="00E0021E">
        <w:t xml:space="preserve"> </w:t>
      </w:r>
      <w:r w:rsidR="00DE3C4F">
        <w:t xml:space="preserve">an NPDCCH transmission </w:t>
      </w:r>
      <w:r w:rsidR="001E1F82">
        <w:t xml:space="preserve">with a </w:t>
      </w:r>
      <m:oMath>
        <m:r>
          <w:rPr>
            <w:rFonts w:ascii="Cambria Math" w:hAnsi="Cambria Math"/>
          </w:rPr>
          <m:t>1%</m:t>
        </m:r>
      </m:oMath>
      <w:r w:rsidR="00CA7826">
        <w:t xml:space="preserve"> BLER requires </w:t>
      </w:r>
      <m:oMath>
        <m:r>
          <w:rPr>
            <w:rFonts w:ascii="Cambria Math" w:hAnsi="Cambria Math"/>
          </w:rPr>
          <m:t>4 ms (R = 4)</m:t>
        </m:r>
      </m:oMath>
      <w:r w:rsidR="00CA7826" w:rsidRPr="00093F97">
        <w:t>,</w:t>
      </w:r>
      <w:r w:rsidR="00CA7826">
        <w:t xml:space="preserve"> while an NPDSCH transmission</w:t>
      </w:r>
      <w:r w:rsidR="00C208CD">
        <w:t>,</w:t>
      </w:r>
      <w:r w:rsidR="00CA7826">
        <w:t xml:space="preserve"> </w:t>
      </w:r>
      <w:r w:rsidR="00C208CD">
        <w:t>for</w:t>
      </w:r>
      <w:r w:rsidR="00CA7826">
        <w:t xml:space="preserve"> a TBS of </w:t>
      </w:r>
      <m:oMath>
        <m:r>
          <w:rPr>
            <w:rFonts w:ascii="Cambria Math" w:hAnsi="Cambria Math"/>
          </w:rPr>
          <m:t>1544</m:t>
        </m:r>
      </m:oMath>
      <w:r w:rsidR="00CA7826">
        <w:t xml:space="preserve"> bits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TBS</m:t>
            </m:r>
          </m:sub>
        </m:sSub>
        <m:r>
          <w:rPr>
            <w:rFonts w:ascii="Cambria Math" w:hAnsi="Cambria Math"/>
          </w:rPr>
          <m:t xml:space="preserve">  = 9,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SF</m:t>
            </m:r>
          </m:sub>
        </m:sSub>
        <m:r>
          <w:rPr>
            <w:rFonts w:ascii="Cambria Math" w:hAnsi="Cambria Math"/>
          </w:rPr>
          <m:t>=10)</m:t>
        </m:r>
        <m:r>
          <w:rPr>
            <w:rFonts w:ascii="Cambria Math" w:hAnsi="Cambria Math"/>
          </w:rPr>
          <m:t xml:space="preserve"> </m:t>
        </m:r>
      </m:oMath>
      <w:r w:rsidR="00C208CD">
        <w:t xml:space="preserve">, with 10% BLER requires </w:t>
      </w:r>
      <m:oMath>
        <m:r>
          <w:rPr>
            <w:rFonts w:ascii="Cambria Math" w:hAnsi="Cambria Math"/>
          </w:rPr>
          <m:t>40 ms</m:t>
        </m:r>
      </m:oMath>
      <w:r w:rsidR="008B3163">
        <w:t>.</w:t>
      </w:r>
      <w:r w:rsidR="004703D1">
        <w:t xml:space="preserve"> The RTD—for the case where the timing reference is at the ground station—is </w:t>
      </w:r>
      <m:oMath>
        <m:r>
          <w:rPr>
            <w:rFonts w:ascii="Cambria Math" w:hAnsi="Cambria Math"/>
          </w:rPr>
          <m:t>541.46 ms</m:t>
        </m:r>
      </m:oMath>
      <w:r w:rsidR="004703D1">
        <w:t>.</w:t>
      </w:r>
      <w:r w:rsidR="005E7635">
        <w:t xml:space="preserve"> </w:t>
      </w:r>
      <w:r w:rsidR="005E7635" w:rsidRPr="00110495">
        <w:t xml:space="preserve">In our analysis, we also </w:t>
      </w:r>
      <w:r w:rsidR="005F170D" w:rsidRPr="00110495">
        <w:t>account for the maximum delay in aligning with a NPDCCH search space</w:t>
      </w:r>
      <w:r w:rsidR="00B70E5B">
        <w:t xml:space="preserve"> (we assume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=8</m:t>
        </m:r>
      </m:oMath>
      <w:r w:rsidR="00B70E5B">
        <w:t>)</w:t>
      </w:r>
      <w:r w:rsidR="00F50E0A" w:rsidRPr="00110495">
        <w:t>, when determining the overall</w:t>
      </w:r>
      <w:r w:rsidR="005E7635" w:rsidRPr="00110495">
        <w:t xml:space="preserve"> NPDCCH duration</w:t>
      </w:r>
      <w:r w:rsidR="00110495">
        <w:t>, in Table 1</w:t>
      </w:r>
      <w:r w:rsidR="00ED32F5">
        <w:t>.</w:t>
      </w:r>
    </w:p>
    <w:p w14:paraId="7DFDBD06" w14:textId="21BC36EE" w:rsidR="00E269AE" w:rsidRDefault="00E269AE" w:rsidP="00E269AE">
      <w:pPr>
        <w:pStyle w:val="Caption"/>
        <w:keepNext/>
        <w:jc w:val="center"/>
      </w:pPr>
      <w:r>
        <w:t xml:space="preserve">Table </w:t>
      </w:r>
      <w:r w:rsidR="00843ABF">
        <w:fldChar w:fldCharType="begin"/>
      </w:r>
      <w:r w:rsidR="00843ABF">
        <w:instrText xml:space="preserve"> SEQ Table \* ARABIC </w:instrText>
      </w:r>
      <w:r w:rsidR="00843ABF">
        <w:fldChar w:fldCharType="separate"/>
      </w:r>
      <w:r w:rsidR="000275D1">
        <w:rPr>
          <w:noProof/>
        </w:rPr>
        <w:t>1</w:t>
      </w:r>
      <w:r w:rsidR="00843ABF">
        <w:rPr>
          <w:noProof/>
        </w:rPr>
        <w:fldChar w:fldCharType="end"/>
      </w:r>
      <w:r>
        <w:t>: Downlink SNRs and required transmission durations</w:t>
      </w:r>
      <w:r>
        <w:rPr>
          <w:noProof/>
        </w:rPr>
        <w:t xml:space="preserve"> in Set 1 GEO deployments.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9"/>
        <w:gridCol w:w="1117"/>
        <w:gridCol w:w="1117"/>
        <w:gridCol w:w="2970"/>
        <w:gridCol w:w="3150"/>
      </w:tblGrid>
      <w:tr w:rsidR="00745A52" w14:paraId="6AC823F4" w14:textId="77777777" w:rsidTr="008A6D70">
        <w:trPr>
          <w:jc w:val="center"/>
        </w:trPr>
        <w:tc>
          <w:tcPr>
            <w:tcW w:w="1119" w:type="dxa"/>
            <w:shd w:val="clear" w:color="auto" w:fill="000000" w:themeFill="text1"/>
          </w:tcPr>
          <w:p w14:paraId="7D8498AD" w14:textId="5FF152A2" w:rsidR="00745A52" w:rsidRDefault="00745A52" w:rsidP="00F55265">
            <w:pPr>
              <w:jc w:val="center"/>
            </w:pPr>
            <w:r>
              <w:t>Round Trip Delay</w:t>
            </w:r>
          </w:p>
          <w:p w14:paraId="48DB0531" w14:textId="0F804341" w:rsidR="00745A52" w:rsidRDefault="00745A52" w:rsidP="00F55265">
            <w:pPr>
              <w:jc w:val="center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RTD</m:t>
                    </m:r>
                  </m:e>
                </m:d>
              </m:oMath>
            </m:oMathPara>
          </w:p>
        </w:tc>
        <w:tc>
          <w:tcPr>
            <w:tcW w:w="1036" w:type="dxa"/>
            <w:shd w:val="clear" w:color="auto" w:fill="000000" w:themeFill="text1"/>
          </w:tcPr>
          <w:p w14:paraId="5D99E789" w14:textId="77777777" w:rsidR="00051E0B" w:rsidRPr="00051E0B" w:rsidRDefault="00051E0B" w:rsidP="00F55265">
            <w:pPr>
              <w:jc w:val="center"/>
            </w:pPr>
          </w:p>
          <w:p w14:paraId="1562F66C" w14:textId="2B5100D6" w:rsidR="00745A52" w:rsidRDefault="00745A52" w:rsidP="00F5526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edge</m:t>
                    </m:r>
                  </m:sub>
                </m:sSub>
              </m:oMath>
            </m:oMathPara>
          </w:p>
        </w:tc>
        <w:tc>
          <w:tcPr>
            <w:tcW w:w="1080" w:type="dxa"/>
            <w:shd w:val="clear" w:color="auto" w:fill="000000" w:themeFill="text1"/>
          </w:tcPr>
          <w:p w14:paraId="60EC2FC4" w14:textId="77777777" w:rsidR="00051E0B" w:rsidRPr="00051E0B" w:rsidRDefault="00051E0B" w:rsidP="00F55265">
            <w:pPr>
              <w:jc w:val="center"/>
            </w:pPr>
          </w:p>
          <w:p w14:paraId="10943852" w14:textId="74544BC8" w:rsidR="00745A52" w:rsidRDefault="00745A52" w:rsidP="00F5526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centre</m:t>
                    </m:r>
                  </m:sub>
                </m:sSub>
              </m:oMath>
            </m:oMathPara>
          </w:p>
        </w:tc>
        <w:tc>
          <w:tcPr>
            <w:tcW w:w="2970" w:type="dxa"/>
            <w:shd w:val="clear" w:color="auto" w:fill="000000" w:themeFill="text1"/>
          </w:tcPr>
          <w:p w14:paraId="23B7321B" w14:textId="77777777" w:rsidR="008A6D70" w:rsidRDefault="00745A52" w:rsidP="00F55265">
            <w:pPr>
              <w:jc w:val="center"/>
            </w:pPr>
            <w:r>
              <w:t>NPDCCH duration</w:t>
            </w:r>
          </w:p>
          <w:p w14:paraId="008CB691" w14:textId="68053862" w:rsidR="008A6D70" w:rsidRDefault="00A23F4C" w:rsidP="00F55265">
            <w:pPr>
              <w:jc w:val="center"/>
            </w:pPr>
            <w:r>
              <w:t xml:space="preserve"> including</w:t>
            </w:r>
            <w:r w:rsidR="00745A52">
              <w:t xml:space="preserve"> </w:t>
            </w:r>
            <w:r w:rsidR="008A6D70">
              <w:t>m</w:t>
            </w:r>
            <w:r w:rsidR="00745A52">
              <w:t>ax. scheduling time</w:t>
            </w:r>
          </w:p>
          <w:p w14:paraId="1ACDFD9B" w14:textId="77777777" w:rsidR="00745A52" w:rsidRDefault="00745A52" w:rsidP="00F55265">
            <w:pPr>
              <w:jc w:val="center"/>
            </w:pPr>
            <w:r>
              <w:t>(1% BLER@</w:t>
            </w:r>
            <m:oMath>
              <m:r>
                <w:rPr>
                  <w:rFonts w:ascii="Cambria Math" w:hAnsi="Cambria Math"/>
                </w:rPr>
                <m:t>SN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edge</m:t>
                  </m:r>
                </m:sub>
              </m:sSub>
            </m:oMath>
            <w:r>
              <w:t>, AWGN)</w:t>
            </w:r>
          </w:p>
          <w:p w14:paraId="21416647" w14:textId="4C50CD40" w:rsidR="00745A52" w:rsidRDefault="00745A52" w:rsidP="00F55265">
            <w:pPr>
              <w:jc w:val="center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NPDCCH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3150" w:type="dxa"/>
            <w:shd w:val="clear" w:color="auto" w:fill="000000" w:themeFill="text1"/>
          </w:tcPr>
          <w:p w14:paraId="698AB4B3" w14:textId="77777777" w:rsidR="00745A52" w:rsidRDefault="00745A52" w:rsidP="00F55265">
            <w:pPr>
              <w:jc w:val="center"/>
            </w:pPr>
            <w:r>
              <w:t>NPDSCH duration</w:t>
            </w:r>
          </w:p>
          <w:p w14:paraId="24B9ACBF" w14:textId="5B112F1B" w:rsidR="00745A52" w:rsidRDefault="00745A52" w:rsidP="00F55265">
            <w:pPr>
              <w:jc w:val="center"/>
            </w:pPr>
            <w:r>
              <w:t>(10% BLER@</w:t>
            </w:r>
            <m:oMath>
              <m:r>
                <w:rPr>
                  <w:rFonts w:ascii="Cambria Math" w:hAnsi="Cambria Math"/>
                </w:rPr>
                <m:t>SN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edge</m:t>
                  </m:r>
                </m:sub>
              </m:sSub>
            </m:oMath>
            <w:r>
              <w:t xml:space="preserve">, AWGN, </w:t>
            </w:r>
            <m:oMath>
              <m:r>
                <w:rPr>
                  <w:rFonts w:ascii="Cambria Math" w:hAnsi="Cambria Math"/>
                </w:rPr>
                <m:t>TBS=1544</m:t>
              </m:r>
            </m:oMath>
            <w:r w:rsidR="00843E42">
              <w:t xml:space="preserve"> bits</w:t>
            </w:r>
            <w:r>
              <w:t>)</w:t>
            </w:r>
          </w:p>
          <w:p w14:paraId="64FD6604" w14:textId="34F417D7" w:rsidR="00745A52" w:rsidRDefault="00745A52" w:rsidP="00F55265">
            <w:pPr>
              <w:jc w:val="center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NPDSCH</m:t>
                        </m:r>
                      </m:sub>
                    </m:sSub>
                  </m:e>
                </m:d>
              </m:oMath>
            </m:oMathPara>
          </w:p>
        </w:tc>
      </w:tr>
      <w:tr w:rsidR="00745A52" w14:paraId="14134203" w14:textId="77777777" w:rsidTr="008A6D70">
        <w:trPr>
          <w:jc w:val="center"/>
        </w:trPr>
        <w:tc>
          <w:tcPr>
            <w:tcW w:w="1119" w:type="dxa"/>
          </w:tcPr>
          <w:p w14:paraId="1B183FFA" w14:textId="6D87DD6E" w:rsidR="00745A52" w:rsidRPr="00F03B24" w:rsidRDefault="00F03B24" w:rsidP="00F55265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541.46 ms</m:t>
                </m:r>
              </m:oMath>
            </m:oMathPara>
          </w:p>
        </w:tc>
        <w:tc>
          <w:tcPr>
            <w:tcW w:w="1036" w:type="dxa"/>
          </w:tcPr>
          <w:p w14:paraId="0C5B28E0" w14:textId="53A1EC32" w:rsidR="00745A52" w:rsidRPr="00F03B24" w:rsidRDefault="00F03B24" w:rsidP="00F55265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-3.24 dB</m:t>
                </m:r>
              </m:oMath>
            </m:oMathPara>
          </w:p>
        </w:tc>
        <w:tc>
          <w:tcPr>
            <w:tcW w:w="1080" w:type="dxa"/>
          </w:tcPr>
          <w:p w14:paraId="203BBEB1" w14:textId="2376A669" w:rsidR="00745A52" w:rsidRPr="00F03B24" w:rsidRDefault="00F03B24" w:rsidP="00F55265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-2.98 dB</m:t>
                </m:r>
              </m:oMath>
            </m:oMathPara>
          </w:p>
        </w:tc>
        <w:tc>
          <w:tcPr>
            <w:tcW w:w="2970" w:type="dxa"/>
          </w:tcPr>
          <w:p w14:paraId="2F0F5150" w14:textId="389163CB" w:rsidR="00745A52" w:rsidRPr="00F03B24" w:rsidRDefault="00F03B24" w:rsidP="00F55265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4+7=11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ms</m:t>
                </m:r>
              </m:oMath>
            </m:oMathPara>
          </w:p>
        </w:tc>
        <w:tc>
          <w:tcPr>
            <w:tcW w:w="3150" w:type="dxa"/>
          </w:tcPr>
          <w:p w14:paraId="79AF28B3" w14:textId="7B1B7941" w:rsidR="00745A52" w:rsidRPr="00F03B24" w:rsidRDefault="00F03B24" w:rsidP="00F55265">
            <w:pPr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4×10=40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ms</m:t>
                </m:r>
              </m:oMath>
            </m:oMathPara>
          </w:p>
        </w:tc>
      </w:tr>
    </w:tbl>
    <w:p w14:paraId="2FB9D9FA" w14:textId="07EC15A1" w:rsidR="000C4C27" w:rsidRDefault="000C4C27" w:rsidP="00C5395E"/>
    <w:p w14:paraId="0328FDA8" w14:textId="553DD27E" w:rsidR="005D619F" w:rsidRDefault="000C4C27" w:rsidP="006C7F23">
      <w:r>
        <w:t xml:space="preserve">In Table </w:t>
      </w:r>
      <w:r w:rsidR="007A2D74">
        <w:t>2</w:t>
      </w:r>
      <w:r>
        <w:t>, we depict the throughput</w:t>
      </w:r>
      <w:r w:rsidR="00373562">
        <w:t>/</w:t>
      </w:r>
      <w:r>
        <w:t>latency penalty</w:t>
      </w:r>
      <w:r w:rsidR="0061272A">
        <w:t xml:space="preserve"> that is incurred</w:t>
      </w:r>
      <w:r w:rsidR="00922649">
        <w:t>, if we do not support at least one HARQ process with HARQ-ACK feedback disabled</w:t>
      </w:r>
      <w:r w:rsidR="00295D02">
        <w:t xml:space="preserve">. </w:t>
      </w:r>
      <w:r w:rsidR="00E16755">
        <w:t xml:space="preserve">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NPDCCH</m:t>
            </m:r>
          </m:sub>
        </m:sSub>
      </m:oMath>
      <w:r w:rsidR="00E16755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NPDSCH</m:t>
            </m:r>
          </m:sub>
        </m:sSub>
      </m:oMath>
      <w:r w:rsidR="00E16755">
        <w:t xml:space="preserve"> values are </w:t>
      </w:r>
      <w:r w:rsidR="00E16755">
        <w:t xml:space="preserve">taken </w:t>
      </w:r>
      <w:r w:rsidR="00E16755">
        <w:t>from Table 1.</w:t>
      </w:r>
      <w:r w:rsidR="00E16755">
        <w:t xml:space="preserve"> </w:t>
      </w:r>
      <w:r w:rsidR="006C7F23">
        <w:t xml:space="preserve">In our calculations, we assume a </w:t>
      </w:r>
      <m:oMath>
        <m:r>
          <w:rPr>
            <w:rFonts w:ascii="Cambria Math" w:hAnsi="Cambria Math"/>
          </w:rPr>
          <m:t>4 ms</m:t>
        </m:r>
      </m:oMath>
      <w:r w:rsidR="006C7F23">
        <w:t xml:space="preserve"> delay from NPDCCH</w:t>
      </w:r>
      <w:r w:rsidR="006C7F23">
        <w:sym w:font="Wingdings" w:char="F0E0"/>
      </w:r>
      <w:r w:rsidR="006C7F23">
        <w:t>NPDSCH, and the minimum value of the NPDSCH</w:t>
      </w:r>
      <w:r w:rsidR="006C7F23">
        <w:sym w:font="Wingdings" w:char="F0E0"/>
      </w:r>
      <w:r w:rsidR="006C7F23">
        <w:t xml:space="preserve">HARQ-ACK delay,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=13</m:t>
        </m:r>
      </m:oMath>
      <w:r w:rsidR="006C7F23">
        <w:t>, for a fair comparison.</w:t>
      </w:r>
      <w:r w:rsidR="006C7F23">
        <w:t xml:space="preserve"> </w:t>
      </w:r>
      <w:r w:rsidR="001B53C2">
        <w:t>The timelines used for the calculations are depicted in Fig. 1 for a NB-IoT UE with a single HARQ process.</w:t>
      </w:r>
      <w:r w:rsidR="005D619F">
        <w:t xml:space="preserve"> </w:t>
      </w:r>
    </w:p>
    <w:p w14:paraId="6D04786C" w14:textId="77777777" w:rsidR="00BC4322" w:rsidRDefault="009C458B" w:rsidP="00BC4322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A8A5EF7" wp14:editId="24594517">
            <wp:extent cx="5865571" cy="3028517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864" cy="30446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843690" w14:textId="0742A9F3" w:rsidR="0061129C" w:rsidRDefault="00BC4322" w:rsidP="00BC4322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Scheduling timelines for a NB-IoT UE with a single HARQ process. The top figure depicts scheduling without feedback disabling, while the bottom figure depicts scheduling when feedback disabling is supported.</w:t>
      </w:r>
    </w:p>
    <w:p w14:paraId="318409FD" w14:textId="55D1A123" w:rsidR="005D619F" w:rsidRDefault="005D619F" w:rsidP="005D619F">
      <w:r>
        <w:t xml:space="preserve">Further, for the case of </w:t>
      </w:r>
      <m:oMath>
        <m:r>
          <w:rPr>
            <w:rFonts w:ascii="Cambria Math" w:hAnsi="Cambria Math"/>
          </w:rPr>
          <m:t>2</m:t>
        </m:r>
      </m:oMath>
      <w:r>
        <w:t xml:space="preserve"> HARQ processes without feedback disabling, we assume that the 2</w:t>
      </w:r>
      <w:r w:rsidRPr="000172CD">
        <w:rPr>
          <w:vertAlign w:val="superscript"/>
        </w:rPr>
        <w:t>nd</w:t>
      </w:r>
      <w:r>
        <w:t xml:space="preserve"> TB can be transmitted within the RTD that starts after the HARQ ACK for the 1</w:t>
      </w:r>
      <w:r w:rsidRPr="005E71C2">
        <w:rPr>
          <w:vertAlign w:val="superscript"/>
        </w:rPr>
        <w:t>st</w:t>
      </w:r>
      <w:r>
        <w:t xml:space="preserve"> TB is sent—this also ensures fairness, since the time taken to transmit </w:t>
      </w:r>
      <m:oMath>
        <m:r>
          <w:rPr>
            <w:rFonts w:ascii="Cambria Math" w:hAnsi="Cambria Math"/>
          </w:rPr>
          <m:t>2</m:t>
        </m:r>
      </m:oMath>
      <w:r>
        <w:t xml:space="preserve"> TBs without feedback disabling is the same as that taken to transmit </w:t>
      </w:r>
      <m:oMath>
        <m:r>
          <w:rPr>
            <w:rFonts w:ascii="Cambria Math" w:hAnsi="Cambria Math"/>
          </w:rPr>
          <m:t>1</m:t>
        </m:r>
      </m:oMath>
      <w:r>
        <w:t xml:space="preserve"> TB. </w:t>
      </w:r>
    </w:p>
    <w:p w14:paraId="190AE1CB" w14:textId="4AB93308" w:rsidR="005D619F" w:rsidRPr="005D619F" w:rsidRDefault="005A42F9" w:rsidP="005D619F">
      <w:r>
        <w:t>In Table 2, w</w:t>
      </w:r>
      <w:r w:rsidR="005D619F">
        <w:t>e see the significant impact on throughput/latency due to the large RTD</w:t>
      </w:r>
      <w:r>
        <w:t xml:space="preserve"> </w:t>
      </w:r>
      <w:r>
        <w:t>(</w:t>
      </w:r>
      <m:oMath>
        <m:r>
          <w:rPr>
            <w:rFonts w:ascii="Cambria Math" w:hAnsi="Cambria Math"/>
          </w:rPr>
          <m:t>&gt;11x</m:t>
        </m:r>
      </m:oMath>
      <w:r>
        <w:t xml:space="preserve"> for 1 HARQ process, and </w:t>
      </w:r>
      <m:oMath>
        <m:r>
          <w:rPr>
            <w:rFonts w:ascii="Cambria Math" w:hAnsi="Cambria Math"/>
          </w:rPr>
          <m:t>&gt;5.5x</m:t>
        </m:r>
      </m:oMath>
      <w:r>
        <w:t xml:space="preserve"> for 2 HARQ processes)</w:t>
      </w:r>
      <w:r w:rsidR="005D619F">
        <w:t>, when feedback disabling is not supported.</w:t>
      </w:r>
      <w:r w:rsidR="006C6A91">
        <w:t xml:space="preserve"> In practice, due to the much inferior uplink budgets,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ACK</m:t>
            </m:r>
          </m:sub>
        </m:sSub>
      </m:oMath>
      <w:r w:rsidR="006C6A91">
        <w:t xml:space="preserve"> value </w:t>
      </w:r>
      <w:r w:rsidR="00160077">
        <w:t xml:space="preserve">may be </w:t>
      </w:r>
      <w:r w:rsidR="003D49CA">
        <w:t>quite</w:t>
      </w:r>
      <w:r w:rsidR="00160077">
        <w:t xml:space="preserve"> large, thereby exacerbating the impact further.</w:t>
      </w:r>
    </w:p>
    <w:p w14:paraId="070671BF" w14:textId="1703B546" w:rsidR="000C4C27" w:rsidRDefault="000B1A7D" w:rsidP="00C5395E">
      <w:r>
        <w:t>If</w:t>
      </w:r>
      <w:r w:rsidR="002B3707">
        <w:t xml:space="preserve"> the time taken to </w:t>
      </w:r>
      <w:r w:rsidR="00A54B9F">
        <w:t>complete a downlink transmission (</w:t>
      </w:r>
      <w:r w:rsidR="00A77AE6">
        <w:t xml:space="preserve">e.g., </w:t>
      </w:r>
      <w:r w:rsidR="00A54B9F">
        <w:t>compris</w:t>
      </w:r>
      <w:r>
        <w:t>ing</w:t>
      </w:r>
      <w:r w:rsidR="00A54B9F">
        <w:t xml:space="preserve"> several NPDSCHs) </w:t>
      </w:r>
      <w:r w:rsidR="006015B9">
        <w:t>is increased</w:t>
      </w:r>
      <w:r>
        <w:t>,</w:t>
      </w:r>
      <w:r w:rsidR="006015B9">
        <w:t xml:space="preserve"> as depicted in Table </w:t>
      </w:r>
      <w:r w:rsidR="006D5425">
        <w:t>2</w:t>
      </w:r>
      <w:r w:rsidR="006015B9">
        <w:t xml:space="preserve">, due to not supporting feedback-disabled processes, </w:t>
      </w:r>
      <w:r w:rsidR="00B013F0">
        <w:t xml:space="preserve">there may be instances </w:t>
      </w:r>
      <w:r w:rsidR="00006CE5">
        <w:t xml:space="preserve">where we may be forced out of the short connection regime, </w:t>
      </w:r>
      <w:r w:rsidR="002D3E5D">
        <w:t xml:space="preserve">leading to loss of </w:t>
      </w:r>
      <w:r w:rsidR="003F3504">
        <w:t>synchronization, among other issues.</w:t>
      </w:r>
    </w:p>
    <w:p w14:paraId="18AEB87C" w14:textId="2514CABD" w:rsidR="000275D1" w:rsidRDefault="000275D1" w:rsidP="000275D1">
      <w:pPr>
        <w:pStyle w:val="Caption"/>
        <w:keepNext/>
        <w:jc w:val="center"/>
      </w:pPr>
      <w:r>
        <w:t xml:space="preserve">Table </w:t>
      </w:r>
      <w:r w:rsidR="00843ABF">
        <w:fldChar w:fldCharType="begin"/>
      </w:r>
      <w:r w:rsidR="00843ABF">
        <w:instrText xml:space="preserve"> SEQ Table \* ARABIC </w:instrText>
      </w:r>
      <w:r w:rsidR="00843ABF">
        <w:fldChar w:fldCharType="separate"/>
      </w:r>
      <w:r>
        <w:rPr>
          <w:noProof/>
        </w:rPr>
        <w:t>2</w:t>
      </w:r>
      <w:r w:rsidR="00843ABF">
        <w:rPr>
          <w:noProof/>
        </w:rPr>
        <w:fldChar w:fldCharType="end"/>
      </w:r>
      <w:r>
        <w:t xml:space="preserve">: Throughput/Latency penalty from not supporting </w:t>
      </w:r>
      <w:r w:rsidR="0084324D">
        <w:t>feedback disabled</w:t>
      </w:r>
      <w:r>
        <w:t xml:space="preserve"> HARQ processes.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530"/>
        <w:gridCol w:w="3870"/>
        <w:gridCol w:w="2974"/>
      </w:tblGrid>
      <w:tr w:rsidR="00224232" w14:paraId="18088D9D" w14:textId="77777777" w:rsidTr="00D933BD">
        <w:tc>
          <w:tcPr>
            <w:tcW w:w="1255" w:type="dxa"/>
            <w:shd w:val="clear" w:color="auto" w:fill="000000" w:themeFill="text1"/>
          </w:tcPr>
          <w:p w14:paraId="48B5A4F7" w14:textId="77777777" w:rsidR="00224232" w:rsidRDefault="00224232" w:rsidP="00680112">
            <w:pPr>
              <w:jc w:val="center"/>
            </w:pPr>
            <w:r>
              <w:t>Number of HARQ processes</w:t>
            </w:r>
          </w:p>
          <w:p w14:paraId="3D8391A2" w14:textId="31F0D327" w:rsidR="00224232" w:rsidRDefault="00224232" w:rsidP="00680112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(H)</m:t>
                </m:r>
              </m:oMath>
            </m:oMathPara>
          </w:p>
        </w:tc>
        <w:tc>
          <w:tcPr>
            <w:tcW w:w="1530" w:type="dxa"/>
            <w:shd w:val="clear" w:color="auto" w:fill="000000" w:themeFill="text1"/>
          </w:tcPr>
          <w:p w14:paraId="136405F8" w14:textId="31A39A60" w:rsidR="00224232" w:rsidRDefault="00126228" w:rsidP="00680112">
            <w:pPr>
              <w:jc w:val="center"/>
            </w:pPr>
            <w:r>
              <w:t>HARQ Feedback Mode</w:t>
            </w:r>
          </w:p>
        </w:tc>
        <w:tc>
          <w:tcPr>
            <w:tcW w:w="3870" w:type="dxa"/>
            <w:shd w:val="clear" w:color="auto" w:fill="000000" w:themeFill="text1"/>
          </w:tcPr>
          <w:p w14:paraId="58032AB9" w14:textId="77777777" w:rsidR="00034295" w:rsidRDefault="001C62C9" w:rsidP="00FE76AF">
            <w:pPr>
              <w:jc w:val="center"/>
            </w:pPr>
            <w:r>
              <w:t>T</w:t>
            </w:r>
            <w:r w:rsidR="00FE76AF">
              <w:t>ime to</w:t>
            </w:r>
            <w:r>
              <w:t xml:space="preserve"> transmit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TBs</w:t>
            </w:r>
          </w:p>
          <w:p w14:paraId="128E374E" w14:textId="68482E63" w:rsidR="00FE76AF" w:rsidRDefault="00FE76AF" w:rsidP="00FE76AF">
            <w:pPr>
              <w:jc w:val="center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ms</m:t>
                    </m:r>
                  </m:e>
                </m:d>
              </m:oMath>
            </m:oMathPara>
          </w:p>
        </w:tc>
        <w:tc>
          <w:tcPr>
            <w:tcW w:w="2974" w:type="dxa"/>
            <w:shd w:val="clear" w:color="auto" w:fill="000000" w:themeFill="text1"/>
          </w:tcPr>
          <w:p w14:paraId="369C287F" w14:textId="6D23D423" w:rsidR="00224232" w:rsidRDefault="00224232" w:rsidP="00680112">
            <w:pPr>
              <w:jc w:val="center"/>
            </w:pPr>
            <w:r>
              <w:t xml:space="preserve">Throughput loss </w:t>
            </w:r>
          </w:p>
          <w:p w14:paraId="7B76CFA3" w14:textId="7460E44A" w:rsidR="00224232" w:rsidRDefault="00224232" w:rsidP="00ED549E">
            <w:pPr>
              <w:jc w:val="center"/>
            </w:pPr>
            <w:r>
              <w:t>= Latency penalty (to transmit the same payload)</w:t>
            </w:r>
          </w:p>
        </w:tc>
      </w:tr>
      <w:tr w:rsidR="00C1780C" w14:paraId="0C0A52CD" w14:textId="77777777" w:rsidTr="00082FC8">
        <w:tc>
          <w:tcPr>
            <w:tcW w:w="1255" w:type="dxa"/>
            <w:vMerge w:val="restart"/>
          </w:tcPr>
          <w:p w14:paraId="1B2D7B02" w14:textId="5999F3FB" w:rsidR="00C1780C" w:rsidRDefault="00C1780C" w:rsidP="00680112">
            <w:pPr>
              <w:jc w:val="center"/>
            </w:pPr>
            <w:r>
              <w:t>1</w:t>
            </w:r>
          </w:p>
        </w:tc>
        <w:tc>
          <w:tcPr>
            <w:tcW w:w="1530" w:type="dxa"/>
          </w:tcPr>
          <w:p w14:paraId="2896C656" w14:textId="7DFE09EE" w:rsidR="00C1780C" w:rsidRDefault="00C1780C" w:rsidP="00680112">
            <w:pPr>
              <w:jc w:val="center"/>
            </w:pPr>
            <w:r>
              <w:t>With disabling</w:t>
            </w:r>
          </w:p>
        </w:tc>
        <w:tc>
          <w:tcPr>
            <w:tcW w:w="3870" w:type="dxa"/>
          </w:tcPr>
          <w:p w14:paraId="59777646" w14:textId="77777777" w:rsidR="00C1780C" w:rsidRPr="00337829" w:rsidRDefault="00F26389" w:rsidP="006801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NPDCCH</m:t>
                    </m:r>
                  </m:sub>
                </m:sSub>
                <m:r>
                  <w:rPr>
                    <w:rFonts w:ascii="Cambria Math" w:hAnsi="Cambria Math"/>
                  </w:rPr>
                  <m:t>+4+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NPDSCH</m:t>
                    </m:r>
                  </m:sub>
                </m:sSub>
              </m:oMath>
            </m:oMathPara>
          </w:p>
          <w:p w14:paraId="5AE8D719" w14:textId="12BCF2C9" w:rsidR="00337829" w:rsidRPr="00337829" w:rsidRDefault="00337829" w:rsidP="00680112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 55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ms</m:t>
                </m:r>
              </m:oMath>
            </m:oMathPara>
          </w:p>
        </w:tc>
        <w:tc>
          <w:tcPr>
            <w:tcW w:w="2974" w:type="dxa"/>
          </w:tcPr>
          <w:p w14:paraId="3AD4AD54" w14:textId="6B271284" w:rsidR="00C1780C" w:rsidRDefault="0010015A" w:rsidP="00680112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C1780C" w14:paraId="2E9CF950" w14:textId="77777777" w:rsidTr="003B06A5">
        <w:tc>
          <w:tcPr>
            <w:tcW w:w="1255" w:type="dxa"/>
            <w:vMerge/>
          </w:tcPr>
          <w:p w14:paraId="1E7D53C8" w14:textId="77777777" w:rsidR="00C1780C" w:rsidRDefault="00C1780C" w:rsidP="00680112">
            <w:pPr>
              <w:jc w:val="center"/>
            </w:pPr>
          </w:p>
        </w:tc>
        <w:tc>
          <w:tcPr>
            <w:tcW w:w="1530" w:type="dxa"/>
            <w:shd w:val="clear" w:color="auto" w:fill="002060"/>
          </w:tcPr>
          <w:p w14:paraId="1796B878" w14:textId="7055EA51" w:rsidR="00C1780C" w:rsidRDefault="00C1780C" w:rsidP="00680112">
            <w:pPr>
              <w:jc w:val="center"/>
            </w:pPr>
            <w:r>
              <w:t>No disabling</w:t>
            </w:r>
          </w:p>
        </w:tc>
        <w:tc>
          <w:tcPr>
            <w:tcW w:w="3870" w:type="dxa"/>
            <w:shd w:val="clear" w:color="auto" w:fill="002060"/>
          </w:tcPr>
          <w:p w14:paraId="4AD8481B" w14:textId="77777777" w:rsidR="00CB7FCE" w:rsidRPr="00CB7FCE" w:rsidRDefault="00F26389" w:rsidP="006801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NPDCCH</m:t>
                    </m:r>
                  </m:sub>
                </m:sSub>
                <m:r>
                  <w:rPr>
                    <w:rFonts w:ascii="Cambria Math" w:hAnsi="Cambria Math"/>
                  </w:rPr>
                  <m:t>+4+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NPDSCH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</m:oMath>
            </m:oMathPara>
          </w:p>
          <w:p w14:paraId="51124521" w14:textId="4A0DF53C" w:rsidR="00C1780C" w:rsidRPr="0074622B" w:rsidRDefault="00F26389" w:rsidP="006801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-1)</m:t>
                </m:r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ACK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+  </m:t>
                </m:r>
                <m:r>
                  <w:rPr>
                    <w:rFonts w:ascii="Cambria Math" w:hAnsi="Cambria Math"/>
                  </w:rPr>
                  <m:t>RTD</m:t>
                </m:r>
              </m:oMath>
            </m:oMathPara>
          </w:p>
          <w:p w14:paraId="4903E471" w14:textId="6AFBF920" w:rsidR="0074622B" w:rsidRPr="0074622B" w:rsidRDefault="00E2225D" w:rsidP="00680112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608.46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ACK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 ms</m:t>
                </m:r>
              </m:oMath>
            </m:oMathPara>
          </w:p>
        </w:tc>
        <w:tc>
          <w:tcPr>
            <w:tcW w:w="2974" w:type="dxa"/>
            <w:shd w:val="clear" w:color="auto" w:fill="002060"/>
          </w:tcPr>
          <w:p w14:paraId="355F9326" w14:textId="55BEE3B7" w:rsidR="00C1780C" w:rsidRDefault="00CA647C" w:rsidP="0068011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60</m:t>
                    </m:r>
                    <m:r>
                      <w:rPr>
                        <w:rFonts w:ascii="Cambria Math" w:hAnsi="Cambria Math"/>
                      </w:rPr>
                      <m:t>8</m:t>
                    </m:r>
                    <m:r>
                      <w:rPr>
                        <w:rFonts w:ascii="Cambria Math" w:hAnsi="Cambria Math"/>
                      </w:rPr>
                      <m:t>.46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ACK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55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11.06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C1780C" w14:paraId="75403BED" w14:textId="77777777" w:rsidTr="00082FC8">
        <w:tc>
          <w:tcPr>
            <w:tcW w:w="1255" w:type="dxa"/>
            <w:vMerge w:val="restart"/>
          </w:tcPr>
          <w:p w14:paraId="03172970" w14:textId="59DA3AF3" w:rsidR="00C1780C" w:rsidRDefault="00C1780C" w:rsidP="00C1780C">
            <w:pPr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00066881" w14:textId="36D4D4A7" w:rsidR="00C1780C" w:rsidRDefault="00C1780C" w:rsidP="00C1780C">
            <w:pPr>
              <w:jc w:val="center"/>
            </w:pPr>
            <w:r>
              <w:t>With disabling</w:t>
            </w:r>
          </w:p>
        </w:tc>
        <w:tc>
          <w:tcPr>
            <w:tcW w:w="3870" w:type="dxa"/>
          </w:tcPr>
          <w:p w14:paraId="7A2C4A8F" w14:textId="77777777" w:rsidR="00E2225D" w:rsidRDefault="00D30990" w:rsidP="00C1780C">
            <w:pPr>
              <w:jc w:val="center"/>
            </w:pPr>
            <m:oMath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×</m:t>
              </m:r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NPDCCH</m:t>
                  </m:r>
                </m:sub>
              </m:sSub>
              <m:r>
                <w:rPr>
                  <w:rFonts w:ascii="Cambria Math" w:hAnsi="Cambria Math"/>
                </w:rPr>
                <m:t>+4+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NPDSCH</m:t>
                  </m:r>
                </m:sub>
              </m:sSub>
            </m:oMath>
            <w:r>
              <w:t xml:space="preserve">) </w:t>
            </w:r>
          </w:p>
          <w:p w14:paraId="2B39855E" w14:textId="2BAC7C8A" w:rsidR="00C1780C" w:rsidRDefault="00E2225D" w:rsidP="00C1780C">
            <w:pPr>
              <w:jc w:val="center"/>
            </w:pPr>
            <m:oMath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110 ms</m:t>
              </m:r>
            </m:oMath>
            <w:r w:rsidR="00D30990">
              <w:t xml:space="preserve"> </w:t>
            </w:r>
          </w:p>
        </w:tc>
        <w:tc>
          <w:tcPr>
            <w:tcW w:w="2974" w:type="dxa"/>
          </w:tcPr>
          <w:p w14:paraId="2A9D728C" w14:textId="72FE857B" w:rsidR="00C1780C" w:rsidRDefault="0010015A" w:rsidP="00C1780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C1780C" w14:paraId="3227BCA2" w14:textId="77777777" w:rsidTr="003B06A5">
        <w:tc>
          <w:tcPr>
            <w:tcW w:w="1255" w:type="dxa"/>
            <w:vMerge/>
          </w:tcPr>
          <w:p w14:paraId="4BE42EC0" w14:textId="77777777" w:rsidR="00C1780C" w:rsidRDefault="00C1780C" w:rsidP="00C1780C">
            <w:pPr>
              <w:jc w:val="center"/>
            </w:pPr>
          </w:p>
        </w:tc>
        <w:tc>
          <w:tcPr>
            <w:tcW w:w="1530" w:type="dxa"/>
            <w:shd w:val="clear" w:color="auto" w:fill="002060"/>
          </w:tcPr>
          <w:p w14:paraId="6347CC9F" w14:textId="1DEEEEB3" w:rsidR="00C1780C" w:rsidRDefault="00C1780C" w:rsidP="00C1780C">
            <w:pPr>
              <w:jc w:val="center"/>
            </w:pPr>
            <w:r>
              <w:t>No disabling</w:t>
            </w:r>
          </w:p>
        </w:tc>
        <w:tc>
          <w:tcPr>
            <w:tcW w:w="3870" w:type="dxa"/>
            <w:shd w:val="clear" w:color="auto" w:fill="002060"/>
          </w:tcPr>
          <w:p w14:paraId="6F64C19C" w14:textId="77777777" w:rsidR="003B1BE5" w:rsidRPr="003B1BE5" w:rsidRDefault="00486C76" w:rsidP="00C1780C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NPDCCH</m:t>
                    </m:r>
                  </m:sub>
                </m:sSub>
                <m:r>
                  <w:rPr>
                    <w:rFonts w:ascii="Cambria Math" w:hAnsi="Cambria Math"/>
                  </w:rPr>
                  <m:t>+4+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NPDSCH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</m:oMath>
            </m:oMathPara>
          </w:p>
          <w:p w14:paraId="0089CA0A" w14:textId="39958B2B" w:rsidR="00C1780C" w:rsidRPr="00E2225D" w:rsidRDefault="00486C76" w:rsidP="00C1780C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-1)+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ACK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+</m:t>
                </m:r>
                <m:r>
                  <w:rPr>
                    <w:rFonts w:ascii="Cambria Math" w:hAnsi="Cambria Math"/>
                  </w:rPr>
                  <m:t>RTD</m:t>
                </m:r>
              </m:oMath>
            </m:oMathPara>
          </w:p>
          <w:p w14:paraId="0BE24B2D" w14:textId="06AEBD20" w:rsidR="00E2225D" w:rsidRDefault="00E2225D" w:rsidP="00C1780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608.46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ACK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 ms</m:t>
                </m:r>
              </m:oMath>
            </m:oMathPara>
          </w:p>
        </w:tc>
        <w:tc>
          <w:tcPr>
            <w:tcW w:w="2974" w:type="dxa"/>
            <w:shd w:val="clear" w:color="auto" w:fill="002060"/>
          </w:tcPr>
          <w:p w14:paraId="036AC582" w14:textId="121F92BF" w:rsidR="00C1780C" w:rsidRDefault="006A4D58" w:rsidP="00C1780C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60</m:t>
                    </m:r>
                    <m:r>
                      <w:rPr>
                        <w:rFonts w:ascii="Cambria Math" w:hAnsi="Cambria Math"/>
                      </w:rPr>
                      <m:t>8</m:t>
                    </m:r>
                    <m:r>
                      <w:rPr>
                        <w:rFonts w:ascii="Cambria Math" w:hAnsi="Cambria Math"/>
                      </w:rPr>
                      <m:t>.46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ACK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5.53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</w:tbl>
    <w:p w14:paraId="27BBC914" w14:textId="18BD1202" w:rsidR="0084324D" w:rsidRPr="006C3DA5" w:rsidRDefault="0084324D" w:rsidP="00C5395E">
      <w:pPr>
        <w:rPr>
          <w:b/>
          <w:bCs/>
          <w:color w:val="FF0000"/>
        </w:rPr>
      </w:pPr>
      <w:r w:rsidRPr="00992EBB">
        <w:rPr>
          <w:b/>
          <w:bCs/>
          <w:i/>
          <w:iCs/>
          <w:color w:val="FF0000"/>
          <w:u w:val="single"/>
        </w:rPr>
        <w:lastRenderedPageBreak/>
        <w:t>Observation 1</w:t>
      </w:r>
      <w:r w:rsidRPr="006C3DA5">
        <w:rPr>
          <w:b/>
          <w:bCs/>
          <w:color w:val="FF0000"/>
        </w:rPr>
        <w:t xml:space="preserve">: </w:t>
      </w:r>
      <w:r w:rsidR="006C3DA5">
        <w:rPr>
          <w:b/>
          <w:bCs/>
          <w:color w:val="FF0000"/>
        </w:rPr>
        <w:t xml:space="preserve">For </w:t>
      </w:r>
      <w:r w:rsidR="00721F3D">
        <w:rPr>
          <w:b/>
          <w:bCs/>
          <w:color w:val="FF0000"/>
        </w:rPr>
        <w:t>GEO Set 1 deployments, n</w:t>
      </w:r>
      <w:r w:rsidRPr="006C3DA5">
        <w:rPr>
          <w:b/>
          <w:bCs/>
          <w:color w:val="FF0000"/>
        </w:rPr>
        <w:t xml:space="preserve">ot supporting </w:t>
      </w:r>
      <w:r w:rsidR="00461477" w:rsidRPr="006C3DA5">
        <w:rPr>
          <w:b/>
          <w:bCs/>
          <w:color w:val="FF0000"/>
        </w:rPr>
        <w:t xml:space="preserve">any </w:t>
      </w:r>
      <w:r w:rsidR="006C3DA5" w:rsidRPr="006C3DA5">
        <w:rPr>
          <w:b/>
          <w:bCs/>
          <w:color w:val="FF0000"/>
        </w:rPr>
        <w:t>feedback disabled</w:t>
      </w:r>
      <w:r w:rsidRPr="006C3DA5">
        <w:rPr>
          <w:b/>
          <w:bCs/>
          <w:color w:val="FF0000"/>
        </w:rPr>
        <w:t xml:space="preserve"> HARQ process</w:t>
      </w:r>
      <w:r w:rsidR="00B23715">
        <w:rPr>
          <w:b/>
          <w:bCs/>
          <w:color w:val="FF0000"/>
        </w:rPr>
        <w:t>(</w:t>
      </w:r>
      <w:r w:rsidR="00461477" w:rsidRPr="006C3DA5">
        <w:rPr>
          <w:b/>
          <w:bCs/>
          <w:color w:val="FF0000"/>
        </w:rPr>
        <w:t>es</w:t>
      </w:r>
      <w:r w:rsidR="00B23715">
        <w:rPr>
          <w:b/>
          <w:bCs/>
          <w:color w:val="FF0000"/>
        </w:rPr>
        <w:t>)</w:t>
      </w:r>
      <w:r w:rsidR="00461477" w:rsidRPr="006C3DA5">
        <w:rPr>
          <w:b/>
          <w:bCs/>
          <w:color w:val="FF0000"/>
        </w:rPr>
        <w:t xml:space="preserve"> results in </w:t>
      </w:r>
      <w:r w:rsidR="006C3DA5" w:rsidRPr="006C3DA5">
        <w:rPr>
          <w:b/>
          <w:bCs/>
          <w:color w:val="FF0000"/>
        </w:rPr>
        <w:t>a throughput/latency penalty of</w:t>
      </w:r>
      <w:r w:rsidR="004A02D1">
        <w:rPr>
          <w:b/>
          <w:bCs/>
          <w:color w:val="FF0000"/>
        </w:rPr>
        <w:t xml:space="preserve"> &gt;</w:t>
      </w:r>
      <w:r w:rsidR="00461477" w:rsidRPr="006C3DA5">
        <w:rPr>
          <w:b/>
          <w:bCs/>
          <w:color w:val="FF0000"/>
        </w:rPr>
        <w:t xml:space="preserve"> </w:t>
      </w:r>
      <w:r w:rsidR="004C0A36">
        <w:rPr>
          <w:b/>
          <w:bCs/>
          <w:color w:val="FF0000"/>
        </w:rPr>
        <w:t>11</w:t>
      </w:r>
      <w:r w:rsidR="00461477" w:rsidRPr="006C3DA5">
        <w:rPr>
          <w:b/>
          <w:bCs/>
          <w:color w:val="FF0000"/>
        </w:rPr>
        <w:t>x</w:t>
      </w:r>
      <w:r w:rsidR="006C3DA5" w:rsidRPr="006C3DA5">
        <w:rPr>
          <w:b/>
          <w:bCs/>
          <w:color w:val="FF0000"/>
        </w:rPr>
        <w:t xml:space="preserve"> for UEs with one HARQ process and </w:t>
      </w:r>
      <w:r w:rsidR="004A02D1">
        <w:rPr>
          <w:b/>
          <w:bCs/>
          <w:color w:val="FF0000"/>
        </w:rPr>
        <w:t xml:space="preserve">&gt; </w:t>
      </w:r>
      <w:r w:rsidR="004C0A36">
        <w:rPr>
          <w:b/>
          <w:bCs/>
          <w:color w:val="FF0000"/>
        </w:rPr>
        <w:t>5</w:t>
      </w:r>
      <w:r w:rsidR="006C3DA5" w:rsidRPr="006C3DA5">
        <w:rPr>
          <w:b/>
          <w:bCs/>
          <w:color w:val="FF0000"/>
        </w:rPr>
        <w:t>.5x for UEs with two HARQ processes.</w:t>
      </w:r>
    </w:p>
    <w:p w14:paraId="0284A0FB" w14:textId="12D0F762" w:rsidR="00C5395E" w:rsidRDefault="0061272A" w:rsidP="00C5395E">
      <w:r>
        <w:t xml:space="preserve">Based on the above </w:t>
      </w:r>
      <w:r w:rsidR="00306ECE">
        <w:t>observation</w:t>
      </w:r>
      <w:r>
        <w:t>,</w:t>
      </w:r>
      <w:r w:rsidR="00D063F3">
        <w:t xml:space="preserve"> </w:t>
      </w:r>
      <w:r w:rsidR="003E1B52">
        <w:t xml:space="preserve">we propose to </w:t>
      </w:r>
      <w:r w:rsidR="007157E0">
        <w:t>support</w:t>
      </w:r>
      <w:r w:rsidR="00D063F3">
        <w:t xml:space="preserve"> </w:t>
      </w:r>
      <w:r w:rsidR="003E1B52">
        <w:t>at least a</w:t>
      </w:r>
      <w:r w:rsidR="00F211D9">
        <w:t xml:space="preserve"> single feedback-less HARQ process</w:t>
      </w:r>
      <w:r w:rsidR="007157E0">
        <w:t xml:space="preserve">, </w:t>
      </w:r>
      <w:r>
        <w:t>as an essential feature in Release 17</w:t>
      </w:r>
      <w:r w:rsidR="00F211D9">
        <w:t>.</w:t>
      </w:r>
    </w:p>
    <w:p w14:paraId="5B7DD1C8" w14:textId="472C281E" w:rsidR="001E3331" w:rsidRDefault="001E3331" w:rsidP="00C5395E">
      <w:pPr>
        <w:rPr>
          <w:b/>
          <w:bCs/>
          <w:color w:val="FF0000"/>
        </w:rPr>
      </w:pPr>
      <w:r w:rsidRPr="0047451F">
        <w:rPr>
          <w:b/>
          <w:bCs/>
          <w:i/>
          <w:iCs/>
          <w:color w:val="FF0000"/>
          <w:u w:val="single"/>
        </w:rPr>
        <w:t xml:space="preserve">Proposal </w:t>
      </w:r>
      <w:r w:rsidR="00636DB5">
        <w:rPr>
          <w:b/>
          <w:bCs/>
          <w:i/>
          <w:iCs/>
          <w:color w:val="FF0000"/>
          <w:u w:val="single"/>
        </w:rPr>
        <w:t>1</w:t>
      </w:r>
      <w:r w:rsidRPr="0047451F">
        <w:rPr>
          <w:b/>
          <w:bCs/>
          <w:color w:val="FF0000"/>
        </w:rPr>
        <w:t>: RAN1 to support at least one feedback-disabled HARQ process for NB-IoT over NTN.</w:t>
      </w:r>
      <w:r w:rsidR="00CC3226">
        <w:rPr>
          <w:b/>
          <w:bCs/>
          <w:color w:val="FF0000"/>
        </w:rPr>
        <w:t xml:space="preserve"> FFS</w:t>
      </w:r>
      <w:r w:rsidR="00BF3174">
        <w:rPr>
          <w:b/>
          <w:bCs/>
          <w:color w:val="FF0000"/>
        </w:rPr>
        <w:t xml:space="preserve"> eMTC.</w:t>
      </w:r>
      <w:r w:rsidRPr="0047451F">
        <w:rPr>
          <w:b/>
          <w:bCs/>
          <w:color w:val="FF0000"/>
        </w:rPr>
        <w:t xml:space="preserve"> </w:t>
      </w:r>
    </w:p>
    <w:p w14:paraId="4716DADF" w14:textId="77777777" w:rsidR="0047451F" w:rsidRPr="003C32A1" w:rsidRDefault="0047451F" w:rsidP="0047451F">
      <w:pPr>
        <w:pStyle w:val="Heading1"/>
        <w:numPr>
          <w:ilvl w:val="0"/>
          <w:numId w:val="1"/>
        </w:numPr>
        <w:tabs>
          <w:tab w:val="clear" w:pos="1140"/>
        </w:tabs>
        <w:jc w:val="both"/>
        <w:rPr>
          <w:b/>
          <w:bCs/>
          <w:lang w:val="en-US"/>
        </w:rPr>
      </w:pPr>
      <w:r>
        <w:t>Maintaining throughput</w:t>
      </w:r>
    </w:p>
    <w:p w14:paraId="52D77F18" w14:textId="398DE524" w:rsidR="0047451F" w:rsidRDefault="0047451F" w:rsidP="0047451F">
      <w:pPr>
        <w:rPr>
          <w:lang w:val="en-US"/>
        </w:rPr>
      </w:pPr>
      <w:r w:rsidRPr="00BD52C2">
        <w:rPr>
          <w:lang w:val="en-US"/>
        </w:rPr>
        <w:t>In an NTN, a UE may have to wait for a considerable period after receiving a DL transmission before it transmits the corresponding UL</w:t>
      </w:r>
      <w:r>
        <w:rPr>
          <w:lang w:val="en-US"/>
        </w:rPr>
        <w:t xml:space="preserve">. </w:t>
      </w:r>
      <w:r w:rsidRPr="00BD52C2">
        <w:rPr>
          <w:lang w:val="en-US"/>
        </w:rPr>
        <w:t>This is especially true for “near UEs” if the “scheduling offsets” (K_offset) are cell-specific, and hence, cater to UEs with the worst round-trip time</w:t>
      </w:r>
      <w:r>
        <w:rPr>
          <w:lang w:val="en-US"/>
        </w:rPr>
        <w:t xml:space="preserve">. </w:t>
      </w:r>
      <w:r w:rsidRPr="00BD52C2">
        <w:rPr>
          <w:lang w:val="en-US"/>
        </w:rPr>
        <w:t xml:space="preserve">According to current specifications, in many such would-be “waiting periods”, the UE is “not required to monitor NPDCCH” (see </w:t>
      </w:r>
      <w:r>
        <w:rPr>
          <w:lang w:val="en-US"/>
        </w:rPr>
        <w:t xml:space="preserve">Fig. </w:t>
      </w:r>
      <w:r w:rsidR="00844819">
        <w:rPr>
          <w:lang w:val="en-US"/>
        </w:rPr>
        <w:t>2</w:t>
      </w:r>
      <w:r w:rsidRPr="00BD52C2">
        <w:rPr>
          <w:lang w:val="en-US"/>
        </w:rPr>
        <w:t>)</w:t>
      </w:r>
      <w:r>
        <w:rPr>
          <w:lang w:val="en-US"/>
        </w:rPr>
        <w:t>. An e</w:t>
      </w:r>
      <w:r w:rsidRPr="00BD52C2">
        <w:rPr>
          <w:lang w:val="en-US"/>
        </w:rPr>
        <w:t>xample</w:t>
      </w:r>
      <w:r>
        <w:rPr>
          <w:lang w:val="en-US"/>
        </w:rPr>
        <w:t xml:space="preserve"> shown in the figure is the t</w:t>
      </w:r>
      <w:r w:rsidRPr="00BD52C2">
        <w:rPr>
          <w:lang w:val="en-US"/>
        </w:rPr>
        <w:t>ime period between receiving an NPDSCH and transmitting the corresponding HARQ ACK</w:t>
      </w:r>
      <w:r>
        <w:rPr>
          <w:lang w:val="en-US"/>
        </w:rPr>
        <w:t>.</w:t>
      </w:r>
    </w:p>
    <w:p w14:paraId="30338CA5" w14:textId="77777777" w:rsidR="0047451F" w:rsidRDefault="0047451F" w:rsidP="0047451F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3B0680D5" wp14:editId="0389314B">
            <wp:extent cx="4072310" cy="2356305"/>
            <wp:effectExtent l="0" t="0" r="4445" b="0"/>
            <wp:docPr id="27" name="Picture 27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THroughput_curren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406" cy="235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75003" w14:textId="416F99DC" w:rsidR="0047451F" w:rsidRDefault="0047451F" w:rsidP="0047451F">
      <w:pPr>
        <w:pStyle w:val="Caption"/>
        <w:jc w:val="center"/>
        <w:rPr>
          <w:noProof/>
        </w:rPr>
      </w:pPr>
      <w:r>
        <w:t xml:space="preserve">Figure </w:t>
      </w:r>
      <w:r w:rsidR="00FA138C">
        <w:t>2</w:t>
      </w:r>
      <w:r>
        <w:t>: Illustration of current UE behavior</w:t>
      </w:r>
      <w:r>
        <w:rPr>
          <w:noProof/>
        </w:rPr>
        <w:t xml:space="preserve"> between receiving NPDSCH and transmitting HARQ ACK.</w:t>
      </w:r>
    </w:p>
    <w:p w14:paraId="61B55429" w14:textId="32A08E09" w:rsidR="0047451F" w:rsidRDefault="0047451F" w:rsidP="0047451F">
      <w:pPr>
        <w:rPr>
          <w:lang w:val="en-US"/>
        </w:rPr>
      </w:pPr>
      <w:r>
        <w:rPr>
          <w:lang w:val="en-US"/>
        </w:rPr>
        <w:t xml:space="preserve">To mitigate this loss in throughput, we can enable PDCCH monitoring for at least a subset of the “waiting period” shown above (shown in Fig. </w:t>
      </w:r>
      <w:r w:rsidR="00FA138C">
        <w:rPr>
          <w:lang w:val="en-US"/>
        </w:rPr>
        <w:t>3</w:t>
      </w:r>
      <w:r>
        <w:rPr>
          <w:lang w:val="en-US"/>
        </w:rPr>
        <w:t>)</w:t>
      </w:r>
      <w:r w:rsidR="005B75B9">
        <w:rPr>
          <w:lang w:val="en-US"/>
        </w:rPr>
        <w:t xml:space="preserve">, especially if a PDCCH monitoring occasion were to </w:t>
      </w:r>
      <w:r w:rsidR="00827BE7">
        <w:rPr>
          <w:lang w:val="en-US"/>
        </w:rPr>
        <w:t>fall inside this region</w:t>
      </w:r>
      <w:r>
        <w:rPr>
          <w:lang w:val="en-US"/>
        </w:rPr>
        <w:t>.</w:t>
      </w:r>
    </w:p>
    <w:p w14:paraId="046A9745" w14:textId="77777777" w:rsidR="0047451F" w:rsidRDefault="0047451F" w:rsidP="0047451F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134A96B" wp14:editId="1C5436EE">
            <wp:extent cx="4442829" cy="2567391"/>
            <wp:effectExtent l="0" t="0" r="0" b="0"/>
            <wp:docPr id="28" name="Picture 28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THroughput_proposed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564" cy="2575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9D48A" w14:textId="31B14C4D" w:rsidR="0047451F" w:rsidRDefault="0047451F" w:rsidP="0047451F">
      <w:pPr>
        <w:pStyle w:val="Caption"/>
        <w:jc w:val="center"/>
      </w:pPr>
      <w:r>
        <w:t xml:space="preserve">Figure </w:t>
      </w:r>
      <w:r w:rsidR="00FA138C">
        <w:t>3</w:t>
      </w:r>
      <w:r>
        <w:t xml:space="preserve">: </w:t>
      </w:r>
      <w:r w:rsidRPr="004234AE">
        <w:t xml:space="preserve">Illustration of </w:t>
      </w:r>
      <w:r>
        <w:t>proposed</w:t>
      </w:r>
      <w:r w:rsidRPr="004234AE">
        <w:t xml:space="preserve"> UE behavior between receiving NPDSCH and transmitting HARQ ACK</w:t>
      </w:r>
      <w:r>
        <w:t>, to increase overall throughput</w:t>
      </w:r>
      <w:r w:rsidRPr="004234AE">
        <w:t>.</w:t>
      </w:r>
    </w:p>
    <w:p w14:paraId="00F5A773" w14:textId="73C07911" w:rsidR="00A231B0" w:rsidRDefault="00055A95" w:rsidP="00A231B0">
      <w:pPr>
        <w:rPr>
          <w:lang w:val="en-US"/>
        </w:rPr>
      </w:pPr>
      <w:r>
        <w:rPr>
          <w:lang w:val="en-US"/>
        </w:rPr>
        <w:t xml:space="preserve">According to the </w:t>
      </w:r>
      <w:r w:rsidR="00827BE7">
        <w:rPr>
          <w:lang w:val="en-US"/>
        </w:rPr>
        <w:t xml:space="preserve">analysis shown in Section 2, for a GEO Set 1 deployment, </w:t>
      </w:r>
      <w:r w:rsidR="003F3EDE">
        <w:rPr>
          <w:lang w:val="en-US"/>
        </w:rPr>
        <w:t xml:space="preserve">a </w:t>
      </w:r>
      <w:r w:rsidR="00830C8D" w:rsidRPr="004346C1">
        <w:rPr>
          <w:lang w:val="en-US"/>
        </w:rPr>
        <w:t>N</w:t>
      </w:r>
      <w:r w:rsidR="003F3EDE" w:rsidRPr="004346C1">
        <w:rPr>
          <w:lang w:val="en-US"/>
        </w:rPr>
        <w:t>PDCCH duration of 4 ms</w:t>
      </w:r>
      <w:r w:rsidR="003F3EDE">
        <w:rPr>
          <w:lang w:val="en-US"/>
        </w:rPr>
        <w:t xml:space="preserve"> is adequate to achieve 1% BLER</w:t>
      </w:r>
      <w:r w:rsidR="00962A70">
        <w:rPr>
          <w:lang w:val="en-US"/>
        </w:rPr>
        <w:t xml:space="preserve">. The maximum differential delay (i.e., the difference in RTD between a </w:t>
      </w:r>
      <w:r w:rsidR="002642BB">
        <w:rPr>
          <w:lang w:val="en-US"/>
        </w:rPr>
        <w:t xml:space="preserve">beam-center UE and a </w:t>
      </w:r>
      <w:r w:rsidR="002642BB">
        <w:rPr>
          <w:lang w:val="en-US"/>
        </w:rPr>
        <w:lastRenderedPageBreak/>
        <w:t>beam-edge UE</w:t>
      </w:r>
      <w:r w:rsidR="00962A70">
        <w:rPr>
          <w:lang w:val="en-US"/>
        </w:rPr>
        <w:t>)</w:t>
      </w:r>
      <w:r w:rsidR="002642BB">
        <w:rPr>
          <w:lang w:val="en-US"/>
        </w:rPr>
        <w:t xml:space="preserve"> is approximately 10.3 ms for GEO deployments</w:t>
      </w:r>
      <w:r w:rsidR="00830C8D">
        <w:rPr>
          <w:lang w:val="en-US"/>
        </w:rPr>
        <w:t>, which directly translates to the “waiting period”</w:t>
      </w:r>
      <w:r w:rsidR="0030748E">
        <w:rPr>
          <w:lang w:val="en-US"/>
        </w:rPr>
        <w:t xml:space="preserve"> shown in Fig. </w:t>
      </w:r>
      <w:r w:rsidR="00844819">
        <w:rPr>
          <w:lang w:val="en-US"/>
        </w:rPr>
        <w:t>2</w:t>
      </w:r>
      <w:r w:rsidR="0030748E">
        <w:rPr>
          <w:lang w:val="en-US"/>
        </w:rPr>
        <w:t>, when a cell-specific K_offset is used</w:t>
      </w:r>
      <w:r w:rsidR="002642BB">
        <w:rPr>
          <w:lang w:val="en-US"/>
        </w:rPr>
        <w:t>.</w:t>
      </w:r>
      <w:r w:rsidR="00CA4526">
        <w:rPr>
          <w:lang w:val="en-US"/>
        </w:rPr>
        <w:t xml:space="preserve"> As a result—when a cell-specific K_offset is used in GEO cells</w:t>
      </w:r>
      <w:r w:rsidR="00DE5A50">
        <w:rPr>
          <w:lang w:val="en-US"/>
        </w:rPr>
        <w:t xml:space="preserve">—it is feasible to monitor for a PDCCH within this waiting period, so long as it coincides with a </w:t>
      </w:r>
      <w:r w:rsidR="00334B32">
        <w:rPr>
          <w:lang w:val="en-US"/>
        </w:rPr>
        <w:t>valid monitoring occasion, and PDCCH monitoring is required in such</w:t>
      </w:r>
      <w:r w:rsidR="00623F59">
        <w:rPr>
          <w:lang w:val="en-US"/>
        </w:rPr>
        <w:t xml:space="preserve"> waiting periods.</w:t>
      </w:r>
    </w:p>
    <w:p w14:paraId="633138F1" w14:textId="32F69309" w:rsidR="00623F59" w:rsidRPr="00473DD2" w:rsidRDefault="00623F59" w:rsidP="00A231B0">
      <w:pPr>
        <w:rPr>
          <w:b/>
          <w:bCs/>
          <w:color w:val="ED7D31" w:themeColor="accent2"/>
          <w:lang w:val="en-US"/>
        </w:rPr>
      </w:pPr>
      <w:r w:rsidRPr="00473DD2">
        <w:rPr>
          <w:b/>
          <w:bCs/>
          <w:i/>
          <w:iCs/>
          <w:color w:val="ED7D31" w:themeColor="accent2"/>
          <w:u w:val="single"/>
          <w:lang w:val="en-US"/>
        </w:rPr>
        <w:t>Observation 2</w:t>
      </w:r>
      <w:r w:rsidRPr="00473DD2">
        <w:rPr>
          <w:b/>
          <w:bCs/>
          <w:color w:val="ED7D31" w:themeColor="accent2"/>
          <w:lang w:val="en-US"/>
        </w:rPr>
        <w:t xml:space="preserve">: </w:t>
      </w:r>
      <w:r w:rsidR="00F771A1" w:rsidRPr="00473DD2">
        <w:rPr>
          <w:b/>
          <w:bCs/>
          <w:color w:val="ED7D31" w:themeColor="accent2"/>
          <w:lang w:val="en-US"/>
        </w:rPr>
        <w:t xml:space="preserve">For GEO Set 1 deployments, with cell-specific K_offset, </w:t>
      </w:r>
      <w:r w:rsidR="00C75FED" w:rsidRPr="00473DD2">
        <w:rPr>
          <w:b/>
          <w:bCs/>
          <w:color w:val="ED7D31" w:themeColor="accent2"/>
          <w:lang w:val="en-US"/>
        </w:rPr>
        <w:t xml:space="preserve">the </w:t>
      </w:r>
      <w:r w:rsidR="00B15ED0">
        <w:rPr>
          <w:b/>
          <w:bCs/>
          <w:color w:val="ED7D31" w:themeColor="accent2"/>
          <w:lang w:val="en-US"/>
        </w:rPr>
        <w:t>waiting period</w:t>
      </w:r>
      <w:r w:rsidR="00EA080E">
        <w:rPr>
          <w:b/>
          <w:bCs/>
          <w:color w:val="ED7D31" w:themeColor="accent2"/>
          <w:lang w:val="en-US"/>
        </w:rPr>
        <w:t xml:space="preserve"> between receiving a NPDSCH and transmitting the HARQ-ACK (which is </w:t>
      </w:r>
      <w:r w:rsidR="001F3843">
        <w:rPr>
          <w:b/>
          <w:bCs/>
          <w:color w:val="ED7D31" w:themeColor="accent2"/>
          <w:lang w:val="en-US"/>
        </w:rPr>
        <w:t>given by the maximum differential delay in the cell</w:t>
      </w:r>
      <w:r w:rsidR="00EA080E">
        <w:rPr>
          <w:b/>
          <w:bCs/>
          <w:color w:val="ED7D31" w:themeColor="accent2"/>
          <w:lang w:val="en-US"/>
        </w:rPr>
        <w:t>)</w:t>
      </w:r>
      <w:r w:rsidR="00C75FED" w:rsidRPr="00473DD2">
        <w:rPr>
          <w:b/>
          <w:bCs/>
          <w:color w:val="ED7D31" w:themeColor="accent2"/>
          <w:lang w:val="en-US"/>
        </w:rPr>
        <w:t xml:space="preserve"> can accommodate </w:t>
      </w:r>
      <w:r w:rsidR="00473DD2" w:rsidRPr="00473DD2">
        <w:rPr>
          <w:b/>
          <w:bCs/>
          <w:color w:val="ED7D31" w:themeColor="accent2"/>
          <w:lang w:val="en-US"/>
        </w:rPr>
        <w:t>a</w:t>
      </w:r>
      <w:r w:rsidR="009E7D5F">
        <w:rPr>
          <w:b/>
          <w:bCs/>
          <w:color w:val="ED7D31" w:themeColor="accent2"/>
          <w:lang w:val="en-US"/>
        </w:rPr>
        <w:t>t least one</w:t>
      </w:r>
      <w:r w:rsidR="00473DD2" w:rsidRPr="00473DD2">
        <w:rPr>
          <w:b/>
          <w:bCs/>
          <w:color w:val="ED7D31" w:themeColor="accent2"/>
          <w:lang w:val="en-US"/>
        </w:rPr>
        <w:t xml:space="preserve"> PDCCH, provided it coincides with a valid PDCCH monitoring occasion.</w:t>
      </w:r>
    </w:p>
    <w:p w14:paraId="5D600118" w14:textId="0AB28BBA" w:rsidR="0047451F" w:rsidRPr="00636DB5" w:rsidRDefault="0047451F" w:rsidP="00C5395E">
      <w:pPr>
        <w:rPr>
          <w:b/>
          <w:bCs/>
          <w:color w:val="ED7D31" w:themeColor="accent2"/>
          <w:lang w:val="en-US"/>
        </w:rPr>
      </w:pPr>
      <w:r w:rsidRPr="0047451F">
        <w:rPr>
          <w:b/>
          <w:bCs/>
          <w:i/>
          <w:iCs/>
          <w:color w:val="ED7D31" w:themeColor="accent2"/>
          <w:u w:val="single"/>
          <w:lang w:val="en-US"/>
        </w:rPr>
        <w:t xml:space="preserve">Proposal </w:t>
      </w:r>
      <w:r w:rsidR="00636DB5">
        <w:rPr>
          <w:b/>
          <w:bCs/>
          <w:i/>
          <w:iCs/>
          <w:color w:val="ED7D31" w:themeColor="accent2"/>
          <w:u w:val="single"/>
          <w:lang w:val="en-US"/>
        </w:rPr>
        <w:t>2</w:t>
      </w:r>
      <w:r w:rsidRPr="0047451F">
        <w:rPr>
          <w:b/>
          <w:bCs/>
          <w:color w:val="ED7D31" w:themeColor="accent2"/>
          <w:lang w:val="en-US"/>
        </w:rPr>
        <w:t>: RAN1 to consider enabling PDCCH monitoring in “waiting periods”—for example, between receiving NPDSCH and transmitting HARQ ACK in NB-IoT—to mitigate suboptimal throughput.</w:t>
      </w:r>
    </w:p>
    <w:p w14:paraId="72FCCC8A" w14:textId="10C7D3B9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1A326317" w:rsidR="009D5294" w:rsidRDefault="000236C6" w:rsidP="006C1D96">
      <w:r w:rsidRPr="000236C6">
        <w:t xml:space="preserve">In this contribution we presented our initial views on </w:t>
      </w:r>
      <w:r w:rsidR="00FD4AD2">
        <w:t>enhancements for</w:t>
      </w:r>
      <w:r w:rsidR="001B1620">
        <w:t xml:space="preserve"> NB-IoT/eMTC over NTN</w:t>
      </w:r>
      <w:r w:rsidR="003C32A1" w:rsidRPr="003C32A1">
        <w:t xml:space="preserve"> </w:t>
      </w:r>
      <w:r w:rsidR="003C32A1">
        <w:t>for aspects related HARQ operation</w:t>
      </w:r>
      <w:r w:rsidRPr="000236C6">
        <w:t xml:space="preserve">. </w:t>
      </w:r>
      <w:r w:rsidR="00BC3A60">
        <w:t>We summarize our proposals below.</w:t>
      </w:r>
    </w:p>
    <w:p w14:paraId="2058686C" w14:textId="36435FBF" w:rsidR="004A02D1" w:rsidRPr="006C3DA5" w:rsidRDefault="004A02D1" w:rsidP="004A02D1">
      <w:pPr>
        <w:rPr>
          <w:b/>
          <w:bCs/>
          <w:color w:val="FF0000"/>
        </w:rPr>
      </w:pPr>
      <w:r w:rsidRPr="00992EBB">
        <w:rPr>
          <w:b/>
          <w:bCs/>
          <w:i/>
          <w:iCs/>
          <w:color w:val="FF0000"/>
          <w:u w:val="single"/>
        </w:rPr>
        <w:t>Observation 1</w:t>
      </w:r>
      <w:r w:rsidRPr="006C3DA5">
        <w:rPr>
          <w:b/>
          <w:bCs/>
          <w:color w:val="FF0000"/>
        </w:rPr>
        <w:t xml:space="preserve">: </w:t>
      </w:r>
      <w:r>
        <w:rPr>
          <w:b/>
          <w:bCs/>
          <w:color w:val="FF0000"/>
        </w:rPr>
        <w:t>For GEO Set 1 deployments, n</w:t>
      </w:r>
      <w:r w:rsidRPr="006C3DA5">
        <w:rPr>
          <w:b/>
          <w:bCs/>
          <w:color w:val="FF0000"/>
        </w:rPr>
        <w:t>ot supporting any feedback disabled HARQ process</w:t>
      </w:r>
      <w:r w:rsidR="00AE7197">
        <w:rPr>
          <w:b/>
          <w:bCs/>
          <w:color w:val="FF0000"/>
        </w:rPr>
        <w:t>(</w:t>
      </w:r>
      <w:r w:rsidRPr="006C3DA5">
        <w:rPr>
          <w:b/>
          <w:bCs/>
          <w:color w:val="FF0000"/>
        </w:rPr>
        <w:t>es</w:t>
      </w:r>
      <w:r w:rsidR="00AE7197">
        <w:rPr>
          <w:b/>
          <w:bCs/>
          <w:color w:val="FF0000"/>
        </w:rPr>
        <w:t>)</w:t>
      </w:r>
      <w:r w:rsidRPr="006C3DA5">
        <w:rPr>
          <w:b/>
          <w:bCs/>
          <w:color w:val="FF0000"/>
        </w:rPr>
        <w:t xml:space="preserve"> results in a throughput/latency penalty of</w:t>
      </w:r>
      <w:r>
        <w:rPr>
          <w:b/>
          <w:bCs/>
          <w:color w:val="FF0000"/>
        </w:rPr>
        <w:t xml:space="preserve"> &gt;</w:t>
      </w:r>
      <w:r w:rsidRPr="006C3DA5">
        <w:rPr>
          <w:b/>
          <w:bCs/>
          <w:color w:val="FF0000"/>
        </w:rPr>
        <w:t xml:space="preserve"> </w:t>
      </w:r>
      <w:r>
        <w:rPr>
          <w:b/>
          <w:bCs/>
          <w:color w:val="FF0000"/>
        </w:rPr>
        <w:t>11</w:t>
      </w:r>
      <w:r w:rsidRPr="006C3DA5">
        <w:rPr>
          <w:b/>
          <w:bCs/>
          <w:color w:val="FF0000"/>
        </w:rPr>
        <w:t xml:space="preserve">x for UEs with one HARQ process and </w:t>
      </w:r>
      <w:r>
        <w:rPr>
          <w:b/>
          <w:bCs/>
          <w:color w:val="FF0000"/>
        </w:rPr>
        <w:t>&gt; 5</w:t>
      </w:r>
      <w:r w:rsidRPr="006C3DA5">
        <w:rPr>
          <w:b/>
          <w:bCs/>
          <w:color w:val="FF0000"/>
        </w:rPr>
        <w:t>.5x for UEs with two HARQ processes.</w:t>
      </w:r>
    </w:p>
    <w:p w14:paraId="0DD081B5" w14:textId="53AD53F6" w:rsidR="00636DB5" w:rsidRDefault="00636DB5" w:rsidP="00636DB5">
      <w:pPr>
        <w:rPr>
          <w:b/>
          <w:bCs/>
          <w:color w:val="FF0000"/>
        </w:rPr>
      </w:pPr>
      <w:r w:rsidRPr="0047451F">
        <w:rPr>
          <w:b/>
          <w:bCs/>
          <w:i/>
          <w:iCs/>
          <w:color w:val="FF0000"/>
          <w:u w:val="single"/>
        </w:rPr>
        <w:t xml:space="preserve">Proposal </w:t>
      </w:r>
      <w:r>
        <w:rPr>
          <w:b/>
          <w:bCs/>
          <w:i/>
          <w:iCs/>
          <w:color w:val="FF0000"/>
          <w:u w:val="single"/>
        </w:rPr>
        <w:t>1</w:t>
      </w:r>
      <w:r w:rsidRPr="0047451F">
        <w:rPr>
          <w:b/>
          <w:bCs/>
          <w:color w:val="FF0000"/>
        </w:rPr>
        <w:t xml:space="preserve">: RAN1 to support at least one feedback-disabled HARQ process for NB-IoT over NTN. </w:t>
      </w:r>
      <w:r w:rsidR="003166A5">
        <w:rPr>
          <w:b/>
          <w:bCs/>
          <w:color w:val="FF0000"/>
        </w:rPr>
        <w:t>FFS eMTC.</w:t>
      </w:r>
    </w:p>
    <w:p w14:paraId="3B7AE95F" w14:textId="17EFCA65" w:rsidR="000F1B72" w:rsidRPr="000F1B72" w:rsidRDefault="000F1B72" w:rsidP="00636DB5">
      <w:pPr>
        <w:rPr>
          <w:b/>
          <w:bCs/>
          <w:color w:val="ED7D31" w:themeColor="accent2"/>
          <w:lang w:val="en-US"/>
        </w:rPr>
      </w:pPr>
      <w:r w:rsidRPr="00473DD2">
        <w:rPr>
          <w:b/>
          <w:bCs/>
          <w:i/>
          <w:iCs/>
          <w:color w:val="ED7D31" w:themeColor="accent2"/>
          <w:u w:val="single"/>
          <w:lang w:val="en-US"/>
        </w:rPr>
        <w:t>Observation 2</w:t>
      </w:r>
      <w:r w:rsidRPr="00473DD2">
        <w:rPr>
          <w:b/>
          <w:bCs/>
          <w:color w:val="ED7D31" w:themeColor="accent2"/>
          <w:lang w:val="en-US"/>
        </w:rPr>
        <w:t xml:space="preserve">: For GEO Set 1 deployments, with cell-specific K_offset, the </w:t>
      </w:r>
      <w:r>
        <w:rPr>
          <w:b/>
          <w:bCs/>
          <w:color w:val="ED7D31" w:themeColor="accent2"/>
          <w:lang w:val="en-US"/>
        </w:rPr>
        <w:t>waiting period between receiving a NPDSCH and transmitting the HARQ-ACK (which is given by the maximum differential delay in the cell)</w:t>
      </w:r>
      <w:r w:rsidRPr="00473DD2">
        <w:rPr>
          <w:b/>
          <w:bCs/>
          <w:color w:val="ED7D31" w:themeColor="accent2"/>
          <w:lang w:val="en-US"/>
        </w:rPr>
        <w:t xml:space="preserve"> can accommodate a</w:t>
      </w:r>
      <w:r>
        <w:rPr>
          <w:b/>
          <w:bCs/>
          <w:color w:val="ED7D31" w:themeColor="accent2"/>
          <w:lang w:val="en-US"/>
        </w:rPr>
        <w:t>t least one</w:t>
      </w:r>
      <w:r w:rsidRPr="00473DD2">
        <w:rPr>
          <w:b/>
          <w:bCs/>
          <w:color w:val="ED7D31" w:themeColor="accent2"/>
          <w:lang w:val="en-US"/>
        </w:rPr>
        <w:t xml:space="preserve"> PDCCH, provided it coincides with a valid PDCCH monitoring occasion.</w:t>
      </w:r>
    </w:p>
    <w:p w14:paraId="130CC224" w14:textId="77777777" w:rsidR="00636DB5" w:rsidRPr="00636DB5" w:rsidRDefault="00636DB5" w:rsidP="00636DB5">
      <w:pPr>
        <w:rPr>
          <w:b/>
          <w:bCs/>
          <w:color w:val="ED7D31" w:themeColor="accent2"/>
          <w:lang w:val="en-US"/>
        </w:rPr>
      </w:pPr>
      <w:r w:rsidRPr="0047451F">
        <w:rPr>
          <w:b/>
          <w:bCs/>
          <w:i/>
          <w:iCs/>
          <w:color w:val="ED7D31" w:themeColor="accent2"/>
          <w:u w:val="single"/>
          <w:lang w:val="en-US"/>
        </w:rPr>
        <w:t xml:space="preserve">Proposal </w:t>
      </w:r>
      <w:r>
        <w:rPr>
          <w:b/>
          <w:bCs/>
          <w:i/>
          <w:iCs/>
          <w:color w:val="ED7D31" w:themeColor="accent2"/>
          <w:u w:val="single"/>
          <w:lang w:val="en-US"/>
        </w:rPr>
        <w:t>2</w:t>
      </w:r>
      <w:r w:rsidRPr="0047451F">
        <w:rPr>
          <w:b/>
          <w:bCs/>
          <w:color w:val="ED7D31" w:themeColor="accent2"/>
          <w:lang w:val="en-US"/>
        </w:rPr>
        <w:t>: RAN1 to consider enabling PDCCH monitoring in “waiting periods”—for example, between receiving NPDSCH and transmitting HARQ ACK in NB-IoT—to mitigate suboptimal throughput.</w:t>
      </w: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0CB324D" w14:textId="3AAE1EFF" w:rsidR="006C1D96" w:rsidRPr="00111EB7" w:rsidRDefault="00874392" w:rsidP="001B159B">
      <w:pPr>
        <w:rPr>
          <w:lang w:val="en-US"/>
        </w:rPr>
      </w:pPr>
      <w:r w:rsidRPr="00F752F5">
        <w:rPr>
          <w:lang w:val="en-US"/>
        </w:rPr>
        <w:t>[1]</w:t>
      </w:r>
      <w:r w:rsidR="00933FE6" w:rsidRPr="00933FE6">
        <w:t xml:space="preserve"> </w:t>
      </w:r>
      <w:r w:rsidR="00933FE6" w:rsidRPr="00933FE6">
        <w:rPr>
          <w:lang w:val="en-US"/>
        </w:rPr>
        <w:t>RP-193235</w:t>
      </w:r>
      <w:r w:rsidR="00933FE6">
        <w:rPr>
          <w:lang w:val="en-US"/>
        </w:rPr>
        <w:t>,</w:t>
      </w:r>
      <w:r w:rsidRPr="00F752F5">
        <w:rPr>
          <w:lang w:val="en-US"/>
        </w:rPr>
        <w:t xml:space="preserve"> </w:t>
      </w:r>
      <w:r w:rsidR="009D25C6" w:rsidRPr="000C1B5A">
        <w:t>Study on NB-Io</w:t>
      </w:r>
      <w:r w:rsidR="009D25C6">
        <w:t>T</w:t>
      </w:r>
      <w:r w:rsidR="009D25C6" w:rsidRPr="000C1B5A">
        <w:t>/eMTC support for Non-Terrestrial Network</w:t>
      </w:r>
    </w:p>
    <w:sectPr w:rsidR="006C1D96" w:rsidRPr="00111EB7" w:rsidSect="00717CC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B5A1C" w14:textId="77777777" w:rsidR="00843ABF" w:rsidRDefault="00843ABF">
      <w:pPr>
        <w:spacing w:after="0"/>
      </w:pPr>
      <w:r>
        <w:separator/>
      </w:r>
    </w:p>
  </w:endnote>
  <w:endnote w:type="continuationSeparator" w:id="0">
    <w:p w14:paraId="63D1F5A4" w14:textId="77777777" w:rsidR="00843ABF" w:rsidRDefault="00843ABF">
      <w:pPr>
        <w:spacing w:after="0"/>
      </w:pPr>
      <w:r>
        <w:continuationSeparator/>
      </w:r>
    </w:p>
  </w:endnote>
  <w:endnote w:type="continuationNotice" w:id="1">
    <w:p w14:paraId="33AEE442" w14:textId="77777777" w:rsidR="00843ABF" w:rsidRDefault="00843A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2029F" w14:textId="77777777" w:rsidR="00843ABF" w:rsidRDefault="00843ABF">
      <w:pPr>
        <w:spacing w:after="0"/>
      </w:pPr>
      <w:r>
        <w:separator/>
      </w:r>
    </w:p>
  </w:footnote>
  <w:footnote w:type="continuationSeparator" w:id="0">
    <w:p w14:paraId="7334F8BF" w14:textId="77777777" w:rsidR="00843ABF" w:rsidRDefault="00843ABF">
      <w:pPr>
        <w:spacing w:after="0"/>
      </w:pPr>
      <w:r>
        <w:continuationSeparator/>
      </w:r>
    </w:p>
  </w:footnote>
  <w:footnote w:type="continuationNotice" w:id="1">
    <w:p w14:paraId="3F400588" w14:textId="77777777" w:rsidR="00843ABF" w:rsidRDefault="00843A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AF5E26B4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74B68"/>
    <w:multiLevelType w:val="hybridMultilevel"/>
    <w:tmpl w:val="2B746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84D30"/>
    <w:multiLevelType w:val="hybridMultilevel"/>
    <w:tmpl w:val="EAC4F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175871"/>
    <w:multiLevelType w:val="hybridMultilevel"/>
    <w:tmpl w:val="78167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E1036"/>
    <w:multiLevelType w:val="hybridMultilevel"/>
    <w:tmpl w:val="22B03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5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9"/>
  </w:num>
  <w:num w:numId="4">
    <w:abstractNumId w:val="21"/>
  </w:num>
  <w:num w:numId="5">
    <w:abstractNumId w:val="14"/>
  </w:num>
  <w:num w:numId="6">
    <w:abstractNumId w:val="23"/>
  </w:num>
  <w:num w:numId="7">
    <w:abstractNumId w:val="24"/>
  </w:num>
  <w:num w:numId="8">
    <w:abstractNumId w:val="8"/>
  </w:num>
  <w:num w:numId="9">
    <w:abstractNumId w:val="26"/>
  </w:num>
  <w:num w:numId="10">
    <w:abstractNumId w:val="16"/>
  </w:num>
  <w:num w:numId="11">
    <w:abstractNumId w:val="6"/>
  </w:num>
  <w:num w:numId="12">
    <w:abstractNumId w:val="1"/>
  </w:num>
  <w:num w:numId="13">
    <w:abstractNumId w:val="27"/>
  </w:num>
  <w:num w:numId="14">
    <w:abstractNumId w:val="13"/>
  </w:num>
  <w:num w:numId="15">
    <w:abstractNumId w:val="7"/>
  </w:num>
  <w:num w:numId="16">
    <w:abstractNumId w:val="2"/>
  </w:num>
  <w:num w:numId="17">
    <w:abstractNumId w:val="9"/>
  </w:num>
  <w:num w:numId="18">
    <w:abstractNumId w:val="22"/>
  </w:num>
  <w:num w:numId="19">
    <w:abstractNumId w:val="18"/>
  </w:num>
  <w:num w:numId="20">
    <w:abstractNumId w:val="12"/>
  </w:num>
  <w:num w:numId="21">
    <w:abstractNumId w:val="15"/>
  </w:num>
  <w:num w:numId="22">
    <w:abstractNumId w:val="4"/>
  </w:num>
  <w:num w:numId="23">
    <w:abstractNumId w:val="25"/>
  </w:num>
  <w:num w:numId="24">
    <w:abstractNumId w:val="20"/>
  </w:num>
  <w:num w:numId="25">
    <w:abstractNumId w:val="11"/>
  </w:num>
  <w:num w:numId="26">
    <w:abstractNumId w:val="10"/>
  </w:num>
  <w:num w:numId="27">
    <w:abstractNumId w:val="17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35E6"/>
    <w:rsid w:val="00005C95"/>
    <w:rsid w:val="00006CE5"/>
    <w:rsid w:val="0000789C"/>
    <w:rsid w:val="000172CD"/>
    <w:rsid w:val="0002016E"/>
    <w:rsid w:val="00022216"/>
    <w:rsid w:val="000236C6"/>
    <w:rsid w:val="000275D1"/>
    <w:rsid w:val="00031861"/>
    <w:rsid w:val="00034295"/>
    <w:rsid w:val="000369C3"/>
    <w:rsid w:val="00037582"/>
    <w:rsid w:val="00037919"/>
    <w:rsid w:val="0004041F"/>
    <w:rsid w:val="00042869"/>
    <w:rsid w:val="00042BED"/>
    <w:rsid w:val="00045BDF"/>
    <w:rsid w:val="00046020"/>
    <w:rsid w:val="000500F7"/>
    <w:rsid w:val="00051E0B"/>
    <w:rsid w:val="00054E5C"/>
    <w:rsid w:val="00055A95"/>
    <w:rsid w:val="00063DAE"/>
    <w:rsid w:val="000707F2"/>
    <w:rsid w:val="00081CDD"/>
    <w:rsid w:val="00082FC8"/>
    <w:rsid w:val="000868B6"/>
    <w:rsid w:val="00093F97"/>
    <w:rsid w:val="00097E6B"/>
    <w:rsid w:val="000B1990"/>
    <w:rsid w:val="000B1A7D"/>
    <w:rsid w:val="000C4C27"/>
    <w:rsid w:val="000C5B7B"/>
    <w:rsid w:val="000C6FD1"/>
    <w:rsid w:val="000D167D"/>
    <w:rsid w:val="000D4151"/>
    <w:rsid w:val="000E1342"/>
    <w:rsid w:val="000E330D"/>
    <w:rsid w:val="000F1B72"/>
    <w:rsid w:val="000F70C7"/>
    <w:rsid w:val="0010015A"/>
    <w:rsid w:val="0010253A"/>
    <w:rsid w:val="001030EF"/>
    <w:rsid w:val="00110495"/>
    <w:rsid w:val="00111EB7"/>
    <w:rsid w:val="00114D8E"/>
    <w:rsid w:val="00121CE2"/>
    <w:rsid w:val="00122D19"/>
    <w:rsid w:val="001232EC"/>
    <w:rsid w:val="00124E5D"/>
    <w:rsid w:val="00125DAC"/>
    <w:rsid w:val="00126228"/>
    <w:rsid w:val="00133866"/>
    <w:rsid w:val="0013602A"/>
    <w:rsid w:val="001369AD"/>
    <w:rsid w:val="001429AE"/>
    <w:rsid w:val="00143CA1"/>
    <w:rsid w:val="00144F61"/>
    <w:rsid w:val="00146E52"/>
    <w:rsid w:val="001536B5"/>
    <w:rsid w:val="00154C05"/>
    <w:rsid w:val="0015697F"/>
    <w:rsid w:val="0015790E"/>
    <w:rsid w:val="00160077"/>
    <w:rsid w:val="00166645"/>
    <w:rsid w:val="001839D7"/>
    <w:rsid w:val="00185245"/>
    <w:rsid w:val="0018530B"/>
    <w:rsid w:val="00190E24"/>
    <w:rsid w:val="001A1E09"/>
    <w:rsid w:val="001A20A9"/>
    <w:rsid w:val="001A452F"/>
    <w:rsid w:val="001B142E"/>
    <w:rsid w:val="001B159B"/>
    <w:rsid w:val="001B1620"/>
    <w:rsid w:val="001B1B3A"/>
    <w:rsid w:val="001B1EC7"/>
    <w:rsid w:val="001B2E20"/>
    <w:rsid w:val="001B36F8"/>
    <w:rsid w:val="001B53C2"/>
    <w:rsid w:val="001C099B"/>
    <w:rsid w:val="001C62C9"/>
    <w:rsid w:val="001C6F21"/>
    <w:rsid w:val="001D0240"/>
    <w:rsid w:val="001E008E"/>
    <w:rsid w:val="001E0B5B"/>
    <w:rsid w:val="001E1134"/>
    <w:rsid w:val="001E1F82"/>
    <w:rsid w:val="001E3331"/>
    <w:rsid w:val="001F3843"/>
    <w:rsid w:val="001F70E2"/>
    <w:rsid w:val="00214C38"/>
    <w:rsid w:val="002162F8"/>
    <w:rsid w:val="00217691"/>
    <w:rsid w:val="00220222"/>
    <w:rsid w:val="00221A19"/>
    <w:rsid w:val="00224232"/>
    <w:rsid w:val="0022593C"/>
    <w:rsid w:val="0022647B"/>
    <w:rsid w:val="00230057"/>
    <w:rsid w:val="002424FF"/>
    <w:rsid w:val="00244C38"/>
    <w:rsid w:val="00244F6A"/>
    <w:rsid w:val="00245257"/>
    <w:rsid w:val="00246141"/>
    <w:rsid w:val="002477FC"/>
    <w:rsid w:val="002500D0"/>
    <w:rsid w:val="00255F0A"/>
    <w:rsid w:val="00256BFC"/>
    <w:rsid w:val="00260902"/>
    <w:rsid w:val="00262FFA"/>
    <w:rsid w:val="002642BB"/>
    <w:rsid w:val="00264BDF"/>
    <w:rsid w:val="002742EE"/>
    <w:rsid w:val="002804CE"/>
    <w:rsid w:val="00287B8D"/>
    <w:rsid w:val="00291786"/>
    <w:rsid w:val="00292F21"/>
    <w:rsid w:val="0029388D"/>
    <w:rsid w:val="00295D02"/>
    <w:rsid w:val="002A30DB"/>
    <w:rsid w:val="002B2E77"/>
    <w:rsid w:val="002B3707"/>
    <w:rsid w:val="002B57F0"/>
    <w:rsid w:val="002C0325"/>
    <w:rsid w:val="002C343D"/>
    <w:rsid w:val="002C481C"/>
    <w:rsid w:val="002D0EEA"/>
    <w:rsid w:val="002D20C0"/>
    <w:rsid w:val="002D3E5D"/>
    <w:rsid w:val="002D43BB"/>
    <w:rsid w:val="002D5638"/>
    <w:rsid w:val="002D79FA"/>
    <w:rsid w:val="002E021D"/>
    <w:rsid w:val="002E0ABA"/>
    <w:rsid w:val="00306ECE"/>
    <w:rsid w:val="0030748E"/>
    <w:rsid w:val="00314B41"/>
    <w:rsid w:val="003166A5"/>
    <w:rsid w:val="003214D1"/>
    <w:rsid w:val="003216E0"/>
    <w:rsid w:val="00321A89"/>
    <w:rsid w:val="00334B32"/>
    <w:rsid w:val="003362EB"/>
    <w:rsid w:val="0033638B"/>
    <w:rsid w:val="00337829"/>
    <w:rsid w:val="00340C1A"/>
    <w:rsid w:val="00340D26"/>
    <w:rsid w:val="00343629"/>
    <w:rsid w:val="003476FB"/>
    <w:rsid w:val="0035424A"/>
    <w:rsid w:val="00355044"/>
    <w:rsid w:val="00355ABE"/>
    <w:rsid w:val="00362F3B"/>
    <w:rsid w:val="003713BA"/>
    <w:rsid w:val="00373562"/>
    <w:rsid w:val="00382105"/>
    <w:rsid w:val="0038329C"/>
    <w:rsid w:val="00386F50"/>
    <w:rsid w:val="00387099"/>
    <w:rsid w:val="0039073F"/>
    <w:rsid w:val="003907A8"/>
    <w:rsid w:val="0039574A"/>
    <w:rsid w:val="003A012C"/>
    <w:rsid w:val="003B06A5"/>
    <w:rsid w:val="003B0F05"/>
    <w:rsid w:val="003B1BE5"/>
    <w:rsid w:val="003B2922"/>
    <w:rsid w:val="003B61AF"/>
    <w:rsid w:val="003B76ED"/>
    <w:rsid w:val="003C0419"/>
    <w:rsid w:val="003C0B13"/>
    <w:rsid w:val="003C32A1"/>
    <w:rsid w:val="003C5BD8"/>
    <w:rsid w:val="003D07C7"/>
    <w:rsid w:val="003D1695"/>
    <w:rsid w:val="003D49CA"/>
    <w:rsid w:val="003E1B52"/>
    <w:rsid w:val="003E4EB7"/>
    <w:rsid w:val="003F1061"/>
    <w:rsid w:val="003F14E0"/>
    <w:rsid w:val="003F3390"/>
    <w:rsid w:val="003F3504"/>
    <w:rsid w:val="003F3D5A"/>
    <w:rsid w:val="003F3EDE"/>
    <w:rsid w:val="003F4FD9"/>
    <w:rsid w:val="003F60AF"/>
    <w:rsid w:val="00400A2E"/>
    <w:rsid w:val="0040494C"/>
    <w:rsid w:val="004054D3"/>
    <w:rsid w:val="00410A8D"/>
    <w:rsid w:val="0041454F"/>
    <w:rsid w:val="0041506D"/>
    <w:rsid w:val="00421B57"/>
    <w:rsid w:val="00421FF1"/>
    <w:rsid w:val="00423CEA"/>
    <w:rsid w:val="00426EA5"/>
    <w:rsid w:val="00427E2F"/>
    <w:rsid w:val="00431380"/>
    <w:rsid w:val="004346C1"/>
    <w:rsid w:val="00436176"/>
    <w:rsid w:val="00440303"/>
    <w:rsid w:val="004456A9"/>
    <w:rsid w:val="00446569"/>
    <w:rsid w:val="004523F4"/>
    <w:rsid w:val="00454426"/>
    <w:rsid w:val="00456A24"/>
    <w:rsid w:val="00461019"/>
    <w:rsid w:val="00461477"/>
    <w:rsid w:val="0046275D"/>
    <w:rsid w:val="00464CA3"/>
    <w:rsid w:val="0046551E"/>
    <w:rsid w:val="004655B6"/>
    <w:rsid w:val="00465666"/>
    <w:rsid w:val="004703D1"/>
    <w:rsid w:val="00473DD2"/>
    <w:rsid w:val="00474485"/>
    <w:rsid w:val="0047451F"/>
    <w:rsid w:val="00476823"/>
    <w:rsid w:val="00476C2A"/>
    <w:rsid w:val="00480C10"/>
    <w:rsid w:val="00483468"/>
    <w:rsid w:val="00483DE7"/>
    <w:rsid w:val="00486C76"/>
    <w:rsid w:val="0048743A"/>
    <w:rsid w:val="0049213F"/>
    <w:rsid w:val="0049613A"/>
    <w:rsid w:val="004A02D1"/>
    <w:rsid w:val="004A2F97"/>
    <w:rsid w:val="004A772F"/>
    <w:rsid w:val="004B0CCA"/>
    <w:rsid w:val="004B0E37"/>
    <w:rsid w:val="004B49AA"/>
    <w:rsid w:val="004B58E3"/>
    <w:rsid w:val="004C07B6"/>
    <w:rsid w:val="004C0A36"/>
    <w:rsid w:val="004C0ECA"/>
    <w:rsid w:val="004C5F77"/>
    <w:rsid w:val="004C615B"/>
    <w:rsid w:val="004D3F76"/>
    <w:rsid w:val="004D634E"/>
    <w:rsid w:val="004E26B2"/>
    <w:rsid w:val="004F25FD"/>
    <w:rsid w:val="004F53B6"/>
    <w:rsid w:val="00500B75"/>
    <w:rsid w:val="00505979"/>
    <w:rsid w:val="0051062E"/>
    <w:rsid w:val="0051448E"/>
    <w:rsid w:val="00517F9D"/>
    <w:rsid w:val="00520E7B"/>
    <w:rsid w:val="00520F4B"/>
    <w:rsid w:val="00524FF3"/>
    <w:rsid w:val="00527F03"/>
    <w:rsid w:val="00527F72"/>
    <w:rsid w:val="00527F8A"/>
    <w:rsid w:val="00530AA1"/>
    <w:rsid w:val="005328B5"/>
    <w:rsid w:val="00537332"/>
    <w:rsid w:val="005446A1"/>
    <w:rsid w:val="0054719B"/>
    <w:rsid w:val="00553628"/>
    <w:rsid w:val="0055738F"/>
    <w:rsid w:val="00557D4B"/>
    <w:rsid w:val="00560F08"/>
    <w:rsid w:val="0056568B"/>
    <w:rsid w:val="0057149D"/>
    <w:rsid w:val="005770E3"/>
    <w:rsid w:val="00582CAB"/>
    <w:rsid w:val="00586156"/>
    <w:rsid w:val="0059466F"/>
    <w:rsid w:val="00594BA3"/>
    <w:rsid w:val="00595973"/>
    <w:rsid w:val="00597070"/>
    <w:rsid w:val="005A312F"/>
    <w:rsid w:val="005A42F9"/>
    <w:rsid w:val="005A521A"/>
    <w:rsid w:val="005A6DE2"/>
    <w:rsid w:val="005A74CD"/>
    <w:rsid w:val="005B0A3D"/>
    <w:rsid w:val="005B75B9"/>
    <w:rsid w:val="005C491E"/>
    <w:rsid w:val="005D201C"/>
    <w:rsid w:val="005D619F"/>
    <w:rsid w:val="005D6B6E"/>
    <w:rsid w:val="005E55F7"/>
    <w:rsid w:val="005E71C2"/>
    <w:rsid w:val="005E7635"/>
    <w:rsid w:val="005F1605"/>
    <w:rsid w:val="005F170D"/>
    <w:rsid w:val="005F3A25"/>
    <w:rsid w:val="00600B37"/>
    <w:rsid w:val="006015B9"/>
    <w:rsid w:val="00601F79"/>
    <w:rsid w:val="00610DC9"/>
    <w:rsid w:val="0061129C"/>
    <w:rsid w:val="0061272A"/>
    <w:rsid w:val="00612769"/>
    <w:rsid w:val="00620296"/>
    <w:rsid w:val="00623263"/>
    <w:rsid w:val="00623F59"/>
    <w:rsid w:val="006246A0"/>
    <w:rsid w:val="00632162"/>
    <w:rsid w:val="00636DB5"/>
    <w:rsid w:val="00640363"/>
    <w:rsid w:val="0064384F"/>
    <w:rsid w:val="00647D8A"/>
    <w:rsid w:val="00651E33"/>
    <w:rsid w:val="006530FE"/>
    <w:rsid w:val="006621E0"/>
    <w:rsid w:val="00662A01"/>
    <w:rsid w:val="00667A31"/>
    <w:rsid w:val="00671DB2"/>
    <w:rsid w:val="00674A20"/>
    <w:rsid w:val="00680112"/>
    <w:rsid w:val="006805FD"/>
    <w:rsid w:val="006807E3"/>
    <w:rsid w:val="00680F01"/>
    <w:rsid w:val="00694ED0"/>
    <w:rsid w:val="006A2B02"/>
    <w:rsid w:val="006A4D58"/>
    <w:rsid w:val="006A5F31"/>
    <w:rsid w:val="006B2436"/>
    <w:rsid w:val="006B283B"/>
    <w:rsid w:val="006B3A59"/>
    <w:rsid w:val="006B6A0D"/>
    <w:rsid w:val="006C05FE"/>
    <w:rsid w:val="006C1D96"/>
    <w:rsid w:val="006C3DA5"/>
    <w:rsid w:val="006C5ED9"/>
    <w:rsid w:val="006C6A91"/>
    <w:rsid w:val="006C7A32"/>
    <w:rsid w:val="006C7F23"/>
    <w:rsid w:val="006D5425"/>
    <w:rsid w:val="006E175E"/>
    <w:rsid w:val="006E4ED1"/>
    <w:rsid w:val="006F3242"/>
    <w:rsid w:val="00702EB8"/>
    <w:rsid w:val="00710096"/>
    <w:rsid w:val="00712BC8"/>
    <w:rsid w:val="007130B5"/>
    <w:rsid w:val="007157E0"/>
    <w:rsid w:val="007165F3"/>
    <w:rsid w:val="00717697"/>
    <w:rsid w:val="00717CCC"/>
    <w:rsid w:val="00721F3D"/>
    <w:rsid w:val="00722924"/>
    <w:rsid w:val="007331DA"/>
    <w:rsid w:val="007366C0"/>
    <w:rsid w:val="00737E91"/>
    <w:rsid w:val="00743D60"/>
    <w:rsid w:val="00745A52"/>
    <w:rsid w:val="00745B50"/>
    <w:rsid w:val="00745BCD"/>
    <w:rsid w:val="0074622B"/>
    <w:rsid w:val="0075364E"/>
    <w:rsid w:val="0075604E"/>
    <w:rsid w:val="007575DD"/>
    <w:rsid w:val="00764301"/>
    <w:rsid w:val="00784DC8"/>
    <w:rsid w:val="0079416A"/>
    <w:rsid w:val="00794448"/>
    <w:rsid w:val="0079447F"/>
    <w:rsid w:val="00794BA6"/>
    <w:rsid w:val="0079595B"/>
    <w:rsid w:val="007979F5"/>
    <w:rsid w:val="007A2D74"/>
    <w:rsid w:val="007B5D69"/>
    <w:rsid w:val="007B62B2"/>
    <w:rsid w:val="007C0C7E"/>
    <w:rsid w:val="007C370A"/>
    <w:rsid w:val="007C3908"/>
    <w:rsid w:val="007D38E7"/>
    <w:rsid w:val="007D4525"/>
    <w:rsid w:val="007D461B"/>
    <w:rsid w:val="007E6B5F"/>
    <w:rsid w:val="007E7769"/>
    <w:rsid w:val="007F6421"/>
    <w:rsid w:val="007F72E4"/>
    <w:rsid w:val="0080168D"/>
    <w:rsid w:val="008019C7"/>
    <w:rsid w:val="00801FF0"/>
    <w:rsid w:val="00806798"/>
    <w:rsid w:val="00810180"/>
    <w:rsid w:val="0081220B"/>
    <w:rsid w:val="00814286"/>
    <w:rsid w:val="00820856"/>
    <w:rsid w:val="008208F6"/>
    <w:rsid w:val="00820A4A"/>
    <w:rsid w:val="00820B78"/>
    <w:rsid w:val="008221BA"/>
    <w:rsid w:val="008260B0"/>
    <w:rsid w:val="00827BE7"/>
    <w:rsid w:val="00830C8D"/>
    <w:rsid w:val="008323AE"/>
    <w:rsid w:val="0083283A"/>
    <w:rsid w:val="008353A5"/>
    <w:rsid w:val="00835C35"/>
    <w:rsid w:val="0084324D"/>
    <w:rsid w:val="00843ABF"/>
    <w:rsid w:val="00843E42"/>
    <w:rsid w:val="00844819"/>
    <w:rsid w:val="0086481F"/>
    <w:rsid w:val="00866ACC"/>
    <w:rsid w:val="00866F78"/>
    <w:rsid w:val="00867677"/>
    <w:rsid w:val="00874392"/>
    <w:rsid w:val="008744D8"/>
    <w:rsid w:val="008778C3"/>
    <w:rsid w:val="0088116B"/>
    <w:rsid w:val="0089184B"/>
    <w:rsid w:val="0089235F"/>
    <w:rsid w:val="008929CF"/>
    <w:rsid w:val="00893F41"/>
    <w:rsid w:val="008A385C"/>
    <w:rsid w:val="008A43E0"/>
    <w:rsid w:val="008A6D70"/>
    <w:rsid w:val="008B3163"/>
    <w:rsid w:val="008B3FAF"/>
    <w:rsid w:val="008B6A31"/>
    <w:rsid w:val="008B7F3F"/>
    <w:rsid w:val="008C075D"/>
    <w:rsid w:val="008C6866"/>
    <w:rsid w:val="008C6B2A"/>
    <w:rsid w:val="008D022D"/>
    <w:rsid w:val="008D39A9"/>
    <w:rsid w:val="008D4861"/>
    <w:rsid w:val="008D58EC"/>
    <w:rsid w:val="008D60F7"/>
    <w:rsid w:val="008D745C"/>
    <w:rsid w:val="008E28E8"/>
    <w:rsid w:val="008E469A"/>
    <w:rsid w:val="008F345D"/>
    <w:rsid w:val="008F3E1A"/>
    <w:rsid w:val="00900B1E"/>
    <w:rsid w:val="00901E73"/>
    <w:rsid w:val="00904028"/>
    <w:rsid w:val="00905BDA"/>
    <w:rsid w:val="00910683"/>
    <w:rsid w:val="00911E51"/>
    <w:rsid w:val="00912E19"/>
    <w:rsid w:val="00922649"/>
    <w:rsid w:val="009227A4"/>
    <w:rsid w:val="00932470"/>
    <w:rsid w:val="00933FE6"/>
    <w:rsid w:val="00935E08"/>
    <w:rsid w:val="0093696C"/>
    <w:rsid w:val="009423AD"/>
    <w:rsid w:val="009467F5"/>
    <w:rsid w:val="00951733"/>
    <w:rsid w:val="00952795"/>
    <w:rsid w:val="00953207"/>
    <w:rsid w:val="009542EC"/>
    <w:rsid w:val="00962A70"/>
    <w:rsid w:val="00963807"/>
    <w:rsid w:val="00965F9D"/>
    <w:rsid w:val="00972BE8"/>
    <w:rsid w:val="00975017"/>
    <w:rsid w:val="00983CCC"/>
    <w:rsid w:val="00983EFA"/>
    <w:rsid w:val="0098575F"/>
    <w:rsid w:val="00992EBB"/>
    <w:rsid w:val="0099393C"/>
    <w:rsid w:val="009A63A0"/>
    <w:rsid w:val="009A6EF5"/>
    <w:rsid w:val="009B4B23"/>
    <w:rsid w:val="009B5D79"/>
    <w:rsid w:val="009C458B"/>
    <w:rsid w:val="009C76B7"/>
    <w:rsid w:val="009C797F"/>
    <w:rsid w:val="009D22DF"/>
    <w:rsid w:val="009D25C6"/>
    <w:rsid w:val="009D5294"/>
    <w:rsid w:val="009E2C20"/>
    <w:rsid w:val="009E7D5F"/>
    <w:rsid w:val="009F0072"/>
    <w:rsid w:val="009F2A85"/>
    <w:rsid w:val="00A02592"/>
    <w:rsid w:val="00A06BA2"/>
    <w:rsid w:val="00A06D2F"/>
    <w:rsid w:val="00A06DC4"/>
    <w:rsid w:val="00A168C0"/>
    <w:rsid w:val="00A231B0"/>
    <w:rsid w:val="00A238B6"/>
    <w:rsid w:val="00A23F4C"/>
    <w:rsid w:val="00A30C68"/>
    <w:rsid w:val="00A33AC8"/>
    <w:rsid w:val="00A40DBD"/>
    <w:rsid w:val="00A450A0"/>
    <w:rsid w:val="00A45641"/>
    <w:rsid w:val="00A45914"/>
    <w:rsid w:val="00A5043D"/>
    <w:rsid w:val="00A544C8"/>
    <w:rsid w:val="00A54682"/>
    <w:rsid w:val="00A54B9F"/>
    <w:rsid w:val="00A553CA"/>
    <w:rsid w:val="00A624A4"/>
    <w:rsid w:val="00A64E9E"/>
    <w:rsid w:val="00A65F7B"/>
    <w:rsid w:val="00A70500"/>
    <w:rsid w:val="00A720EF"/>
    <w:rsid w:val="00A77AE6"/>
    <w:rsid w:val="00A850B8"/>
    <w:rsid w:val="00A86E0F"/>
    <w:rsid w:val="00A91281"/>
    <w:rsid w:val="00AA0C73"/>
    <w:rsid w:val="00AA43FE"/>
    <w:rsid w:val="00AA6350"/>
    <w:rsid w:val="00AA685A"/>
    <w:rsid w:val="00AB425B"/>
    <w:rsid w:val="00AB6DBE"/>
    <w:rsid w:val="00AC0FBA"/>
    <w:rsid w:val="00AC15EF"/>
    <w:rsid w:val="00AC2E25"/>
    <w:rsid w:val="00AC7090"/>
    <w:rsid w:val="00AD0869"/>
    <w:rsid w:val="00AD2460"/>
    <w:rsid w:val="00AD444A"/>
    <w:rsid w:val="00AD7F52"/>
    <w:rsid w:val="00AE187B"/>
    <w:rsid w:val="00AE6490"/>
    <w:rsid w:val="00AE6F34"/>
    <w:rsid w:val="00AE7197"/>
    <w:rsid w:val="00AE7EB7"/>
    <w:rsid w:val="00AF71CE"/>
    <w:rsid w:val="00B00EDB"/>
    <w:rsid w:val="00B013F0"/>
    <w:rsid w:val="00B041D2"/>
    <w:rsid w:val="00B06C22"/>
    <w:rsid w:val="00B06E32"/>
    <w:rsid w:val="00B07575"/>
    <w:rsid w:val="00B138AA"/>
    <w:rsid w:val="00B15ED0"/>
    <w:rsid w:val="00B16A2A"/>
    <w:rsid w:val="00B17212"/>
    <w:rsid w:val="00B17547"/>
    <w:rsid w:val="00B23715"/>
    <w:rsid w:val="00B25FF6"/>
    <w:rsid w:val="00B323EE"/>
    <w:rsid w:val="00B32506"/>
    <w:rsid w:val="00B40DA9"/>
    <w:rsid w:val="00B42AB1"/>
    <w:rsid w:val="00B44059"/>
    <w:rsid w:val="00B4627F"/>
    <w:rsid w:val="00B50E38"/>
    <w:rsid w:val="00B517F2"/>
    <w:rsid w:val="00B54CD3"/>
    <w:rsid w:val="00B563DD"/>
    <w:rsid w:val="00B60449"/>
    <w:rsid w:val="00B64F64"/>
    <w:rsid w:val="00B66A8B"/>
    <w:rsid w:val="00B67771"/>
    <w:rsid w:val="00B70E5B"/>
    <w:rsid w:val="00B71340"/>
    <w:rsid w:val="00B73FDF"/>
    <w:rsid w:val="00B7444E"/>
    <w:rsid w:val="00B80622"/>
    <w:rsid w:val="00B82E59"/>
    <w:rsid w:val="00B84F3B"/>
    <w:rsid w:val="00B86860"/>
    <w:rsid w:val="00B879E3"/>
    <w:rsid w:val="00BA11DA"/>
    <w:rsid w:val="00BA219C"/>
    <w:rsid w:val="00BA2B73"/>
    <w:rsid w:val="00BA2E5A"/>
    <w:rsid w:val="00BA3BB8"/>
    <w:rsid w:val="00BA6CD3"/>
    <w:rsid w:val="00BA7766"/>
    <w:rsid w:val="00BA77E3"/>
    <w:rsid w:val="00BB3434"/>
    <w:rsid w:val="00BB4DA5"/>
    <w:rsid w:val="00BC3A60"/>
    <w:rsid w:val="00BC4322"/>
    <w:rsid w:val="00BC54A0"/>
    <w:rsid w:val="00BD0F8A"/>
    <w:rsid w:val="00BD52C2"/>
    <w:rsid w:val="00BF27FB"/>
    <w:rsid w:val="00BF3174"/>
    <w:rsid w:val="00BF4B5D"/>
    <w:rsid w:val="00C056B0"/>
    <w:rsid w:val="00C05C78"/>
    <w:rsid w:val="00C07815"/>
    <w:rsid w:val="00C13CAF"/>
    <w:rsid w:val="00C15973"/>
    <w:rsid w:val="00C16784"/>
    <w:rsid w:val="00C1780C"/>
    <w:rsid w:val="00C208CD"/>
    <w:rsid w:val="00C23CDB"/>
    <w:rsid w:val="00C24DF7"/>
    <w:rsid w:val="00C262A2"/>
    <w:rsid w:val="00C266E2"/>
    <w:rsid w:val="00C30A2F"/>
    <w:rsid w:val="00C32B82"/>
    <w:rsid w:val="00C36A53"/>
    <w:rsid w:val="00C4411B"/>
    <w:rsid w:val="00C47D6D"/>
    <w:rsid w:val="00C51EDA"/>
    <w:rsid w:val="00C5395E"/>
    <w:rsid w:val="00C53EB1"/>
    <w:rsid w:val="00C65431"/>
    <w:rsid w:val="00C672BE"/>
    <w:rsid w:val="00C7266E"/>
    <w:rsid w:val="00C74923"/>
    <w:rsid w:val="00C74C69"/>
    <w:rsid w:val="00C75552"/>
    <w:rsid w:val="00C75FED"/>
    <w:rsid w:val="00C76404"/>
    <w:rsid w:val="00C778FF"/>
    <w:rsid w:val="00C82AC5"/>
    <w:rsid w:val="00C84CE5"/>
    <w:rsid w:val="00C90D68"/>
    <w:rsid w:val="00C94E0B"/>
    <w:rsid w:val="00CA4526"/>
    <w:rsid w:val="00CA47CD"/>
    <w:rsid w:val="00CA647C"/>
    <w:rsid w:val="00CA7826"/>
    <w:rsid w:val="00CB2165"/>
    <w:rsid w:val="00CB37F3"/>
    <w:rsid w:val="00CB3CC1"/>
    <w:rsid w:val="00CB704C"/>
    <w:rsid w:val="00CB7FCE"/>
    <w:rsid w:val="00CC10E9"/>
    <w:rsid w:val="00CC3226"/>
    <w:rsid w:val="00CD471E"/>
    <w:rsid w:val="00CD6583"/>
    <w:rsid w:val="00CE04F7"/>
    <w:rsid w:val="00CE6983"/>
    <w:rsid w:val="00CF53EE"/>
    <w:rsid w:val="00D04BEA"/>
    <w:rsid w:val="00D05C13"/>
    <w:rsid w:val="00D063F3"/>
    <w:rsid w:val="00D0651D"/>
    <w:rsid w:val="00D10724"/>
    <w:rsid w:val="00D15E27"/>
    <w:rsid w:val="00D201DA"/>
    <w:rsid w:val="00D24C0A"/>
    <w:rsid w:val="00D2656E"/>
    <w:rsid w:val="00D27EA9"/>
    <w:rsid w:val="00D3097D"/>
    <w:rsid w:val="00D30990"/>
    <w:rsid w:val="00D30DB2"/>
    <w:rsid w:val="00D31AEF"/>
    <w:rsid w:val="00D325A0"/>
    <w:rsid w:val="00D37CEB"/>
    <w:rsid w:val="00D40150"/>
    <w:rsid w:val="00D4085B"/>
    <w:rsid w:val="00D40DC0"/>
    <w:rsid w:val="00D435C2"/>
    <w:rsid w:val="00D43F0A"/>
    <w:rsid w:val="00D6066F"/>
    <w:rsid w:val="00D61DA9"/>
    <w:rsid w:val="00D62A52"/>
    <w:rsid w:val="00D63CE8"/>
    <w:rsid w:val="00D65537"/>
    <w:rsid w:val="00D76286"/>
    <w:rsid w:val="00D8305F"/>
    <w:rsid w:val="00D868C2"/>
    <w:rsid w:val="00D90AFC"/>
    <w:rsid w:val="00D92B18"/>
    <w:rsid w:val="00D933BD"/>
    <w:rsid w:val="00D93E93"/>
    <w:rsid w:val="00DB0103"/>
    <w:rsid w:val="00DC6BDB"/>
    <w:rsid w:val="00DC6F4D"/>
    <w:rsid w:val="00DC716C"/>
    <w:rsid w:val="00DD4684"/>
    <w:rsid w:val="00DE20C2"/>
    <w:rsid w:val="00DE3C4F"/>
    <w:rsid w:val="00DE5A50"/>
    <w:rsid w:val="00DE5EF4"/>
    <w:rsid w:val="00DF3E88"/>
    <w:rsid w:val="00DF469B"/>
    <w:rsid w:val="00E0021E"/>
    <w:rsid w:val="00E0214A"/>
    <w:rsid w:val="00E03FCE"/>
    <w:rsid w:val="00E06B08"/>
    <w:rsid w:val="00E1476B"/>
    <w:rsid w:val="00E159CE"/>
    <w:rsid w:val="00E15ED1"/>
    <w:rsid w:val="00E16755"/>
    <w:rsid w:val="00E2225D"/>
    <w:rsid w:val="00E249D3"/>
    <w:rsid w:val="00E251FD"/>
    <w:rsid w:val="00E269AE"/>
    <w:rsid w:val="00E31684"/>
    <w:rsid w:val="00E32EE8"/>
    <w:rsid w:val="00E357FC"/>
    <w:rsid w:val="00E37D8F"/>
    <w:rsid w:val="00E46BFB"/>
    <w:rsid w:val="00E4711B"/>
    <w:rsid w:val="00E5050F"/>
    <w:rsid w:val="00E5486D"/>
    <w:rsid w:val="00E571C2"/>
    <w:rsid w:val="00E578C8"/>
    <w:rsid w:val="00E605EA"/>
    <w:rsid w:val="00E63523"/>
    <w:rsid w:val="00E64FFE"/>
    <w:rsid w:val="00E670D8"/>
    <w:rsid w:val="00E74900"/>
    <w:rsid w:val="00E74BCC"/>
    <w:rsid w:val="00E836D1"/>
    <w:rsid w:val="00E85198"/>
    <w:rsid w:val="00E86AC5"/>
    <w:rsid w:val="00E958B0"/>
    <w:rsid w:val="00E958E3"/>
    <w:rsid w:val="00E9595B"/>
    <w:rsid w:val="00EA080E"/>
    <w:rsid w:val="00EA2860"/>
    <w:rsid w:val="00EA2CBA"/>
    <w:rsid w:val="00EA3154"/>
    <w:rsid w:val="00EA74C5"/>
    <w:rsid w:val="00EB1495"/>
    <w:rsid w:val="00EC2CE5"/>
    <w:rsid w:val="00EC720F"/>
    <w:rsid w:val="00ED1A12"/>
    <w:rsid w:val="00ED316F"/>
    <w:rsid w:val="00ED32F5"/>
    <w:rsid w:val="00ED549E"/>
    <w:rsid w:val="00ED6A14"/>
    <w:rsid w:val="00EF15B3"/>
    <w:rsid w:val="00EF38BF"/>
    <w:rsid w:val="00EF4C3F"/>
    <w:rsid w:val="00EF786E"/>
    <w:rsid w:val="00F00BC4"/>
    <w:rsid w:val="00F0175D"/>
    <w:rsid w:val="00F03B24"/>
    <w:rsid w:val="00F03D87"/>
    <w:rsid w:val="00F11E67"/>
    <w:rsid w:val="00F1324F"/>
    <w:rsid w:val="00F211D9"/>
    <w:rsid w:val="00F22702"/>
    <w:rsid w:val="00F2289D"/>
    <w:rsid w:val="00F26389"/>
    <w:rsid w:val="00F30092"/>
    <w:rsid w:val="00F321D7"/>
    <w:rsid w:val="00F33288"/>
    <w:rsid w:val="00F34287"/>
    <w:rsid w:val="00F36DAE"/>
    <w:rsid w:val="00F43612"/>
    <w:rsid w:val="00F45DBB"/>
    <w:rsid w:val="00F460EB"/>
    <w:rsid w:val="00F46141"/>
    <w:rsid w:val="00F472FC"/>
    <w:rsid w:val="00F47E3B"/>
    <w:rsid w:val="00F50E0A"/>
    <w:rsid w:val="00F5209A"/>
    <w:rsid w:val="00F542EA"/>
    <w:rsid w:val="00F55265"/>
    <w:rsid w:val="00F5785D"/>
    <w:rsid w:val="00F629D0"/>
    <w:rsid w:val="00F637C3"/>
    <w:rsid w:val="00F63972"/>
    <w:rsid w:val="00F67F4B"/>
    <w:rsid w:val="00F771A1"/>
    <w:rsid w:val="00F85BD3"/>
    <w:rsid w:val="00F8682C"/>
    <w:rsid w:val="00F90E18"/>
    <w:rsid w:val="00F90E1B"/>
    <w:rsid w:val="00F90EEA"/>
    <w:rsid w:val="00F92013"/>
    <w:rsid w:val="00FA00E1"/>
    <w:rsid w:val="00FA138C"/>
    <w:rsid w:val="00FA2448"/>
    <w:rsid w:val="00FA3D40"/>
    <w:rsid w:val="00FA4CAA"/>
    <w:rsid w:val="00FB1A4D"/>
    <w:rsid w:val="00FB490E"/>
    <w:rsid w:val="00FB7C76"/>
    <w:rsid w:val="00FD4AD2"/>
    <w:rsid w:val="00FE76AF"/>
    <w:rsid w:val="00FF2302"/>
    <w:rsid w:val="00FF2EA9"/>
    <w:rsid w:val="00FF3C1E"/>
    <w:rsid w:val="00FF51D2"/>
    <w:rsid w:val="00FF6B78"/>
    <w:rsid w:val="00FF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2D1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67366F-D11C-42CC-9714-6315200F36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1D6918-1BFF-450A-BF39-D3405B351D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57B644-F391-407D-A89E-987C6E1E2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4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265</cp:revision>
  <cp:lastPrinted>2020-02-10T06:14:00Z</cp:lastPrinted>
  <dcterms:created xsi:type="dcterms:W3CDTF">2020-10-23T21:25:00Z</dcterms:created>
  <dcterms:modified xsi:type="dcterms:W3CDTF">2021-05-12T02:08:00Z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dlc_DocIdItemGuid">
    <vt:lpwstr>7e1c5aa6-bd62-4757-951f-4e2eed3c8a1a</vt:lpwstr>
  </property>
</Properties>
</file>